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7" w:hanging="477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УТВЕРЖДЕНЫ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6237" w:hanging="477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приказом департамента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6237" w:hanging="477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имущества и земельных отношений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6237" w:hanging="477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6237" w:hanging="477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от «__»__________ № 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07"/>
        <w:ind w:firstLine="709"/>
        <w:spacing w:line="240" w:lineRule="auto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Правила обработки персональных данных в департаменте имущества и земельных отношений Новосибирской области</w:t>
      </w:r>
      <w:r>
        <w:rPr>
          <w:rFonts w:cs="Times New Roman"/>
          <w:sz w:val="28"/>
        </w:rPr>
      </w:r>
    </w:p>
    <w:p>
      <w:pPr>
        <w:pStyle w:val="707"/>
        <w:ind w:firstLine="709"/>
        <w:spacing w:line="240" w:lineRule="auto"/>
        <w:rPr>
          <w:rFonts w:cs="Times New Roman"/>
          <w:sz w:val="28"/>
        </w:rPr>
      </w:pPr>
      <w:r>
        <w:rPr>
          <w:rFonts w:cs="Times New Roman"/>
          <w:sz w:val="28"/>
        </w:rPr>
      </w:r>
      <w:r>
        <w:rPr>
          <w:rFonts w:cs="Times New Roman"/>
          <w:sz w:val="28"/>
        </w:rPr>
      </w:r>
    </w:p>
    <w:p>
      <w:pPr>
        <w:pStyle w:val="703"/>
        <w:ind w:left="0" w:firstLine="709"/>
        <w:spacing w:before="0" w:line="240" w:lineRule="auto"/>
        <w:rPr>
          <w:sz w:val="28"/>
        </w:rPr>
        <w:outlineLvl w:val="9"/>
      </w:pPr>
      <w:r>
        <w:rPr>
          <w:sz w:val="28"/>
        </w:rPr>
        <w:t xml:space="preserve">Общие положения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Настоящие Правила обработки персональных данных в департаменте имущества и земельных отношений Новосибирской области (далее – Правила) разработаны в соответствии с Федеральным законом </w:t>
      </w:r>
      <w:r>
        <w:rPr>
          <w:sz w:val="28"/>
        </w:rPr>
        <w:t xml:space="preserve">от 27.07.2006 </w:t>
      </w:r>
      <w:r>
        <w:rPr>
          <w:sz w:val="28"/>
        </w:rPr>
        <w:t xml:space="preserve">№ 152-ФЗ </w:t>
      </w:r>
      <w:r>
        <w:rPr>
          <w:sz w:val="28"/>
        </w:rPr>
        <w:t xml:space="preserve">«</w:t>
      </w:r>
      <w:r>
        <w:rPr>
          <w:sz w:val="28"/>
        </w:rPr>
        <w:t xml:space="preserve">О персональных данных</w:t>
      </w:r>
      <w:r>
        <w:rPr>
          <w:sz w:val="28"/>
        </w:rPr>
        <w:t xml:space="preserve">»</w:t>
      </w:r>
      <w:r>
        <w:rPr>
          <w:sz w:val="28"/>
        </w:rPr>
        <w:t xml:space="preserve"> </w:t>
      </w:r>
      <w:r>
        <w:rPr>
          <w:sz w:val="28"/>
        </w:rPr>
        <w:t xml:space="preserve">(далее – Федеральный закон № 152-ФЗ)</w:t>
      </w:r>
      <w:r>
        <w:rPr>
          <w:sz w:val="28"/>
        </w:rPr>
        <w:t xml:space="preserve">, постановлением Правительства Российской Федерации от 21.03.2012 № 211 «Об утверждении переч</w:t>
      </w:r>
      <w:r>
        <w:rPr>
          <w:sz w:val="28"/>
        </w:rPr>
        <w:t xml:space="preserve">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органами».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Настоящие Правила определяют цели, принципы, условия, способы и порядок обработки персональн</w:t>
      </w:r>
      <w:r>
        <w:rPr>
          <w:sz w:val="28"/>
        </w:rPr>
        <w:t xml:space="preserve">ых данных, категории субъектов, персональные данные которых обрабатываются в департаменте имущества и земельных отношений Новосибирской области (далее – Департамент, оператор), содержание обрабатываемых персональных данных, сроки их обработки и хранения, п</w:t>
      </w:r>
      <w:r>
        <w:rPr>
          <w:sz w:val="28"/>
        </w:rPr>
        <w:t xml:space="preserve">орядок уничтожения персональных данных при достижении целей их обработки или при наступлении иных законных оснований, а также процедуры, направленные на выявление и предотвращение нарушений законодательства Российской Федерации в сфере персональных данных.</w:t>
      </w:r>
      <w:r>
        <w:rPr>
          <w:sz w:val="28"/>
        </w:rPr>
      </w:r>
    </w:p>
    <w:p>
      <w:pPr>
        <w:pStyle w:val="700"/>
        <w:spacing w:line="240" w:lineRule="auto"/>
        <w:rPr>
          <w:sz w:val="28"/>
        </w:rPr>
      </w:pPr>
      <w:r>
        <w:rPr>
          <w:sz w:val="28"/>
        </w:rPr>
        <w:t xml:space="preserve"> Понятия и термины, используемые в настоящих Правилах, применяются в том же значении, что и в Федеральном законе </w:t>
      </w:r>
      <w:r>
        <w:rPr>
          <w:sz w:val="28"/>
        </w:rPr>
        <w:t xml:space="preserve">№ </w:t>
      </w:r>
      <w:r>
        <w:rPr>
          <w:sz w:val="28"/>
        </w:rPr>
        <w:t xml:space="preserve">152-ФЗ.</w:t>
      </w:r>
      <w:r>
        <w:rPr>
          <w:sz w:val="28"/>
        </w:rPr>
      </w:r>
    </w:p>
    <w:p>
      <w:pPr>
        <w:pStyle w:val="700"/>
        <w:numPr>
          <w:ilvl w:val="0"/>
          <w:numId w:val="0"/>
        </w:numPr>
        <w:ind w:left="720"/>
        <w:spacing w:line="240" w:lineRule="auto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03"/>
        <w:ind w:left="0" w:firstLine="709"/>
        <w:spacing w:before="0" w:line="240" w:lineRule="auto"/>
        <w:rPr>
          <w:sz w:val="28"/>
        </w:rPr>
        <w:outlineLvl w:val="9"/>
      </w:pPr>
      <w:r>
        <w:rPr>
          <w:sz w:val="28"/>
        </w:rPr>
        <w:t xml:space="preserve">Цели обработки персональных данных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Цели обработки персональных данных в Департаменте конкретны, заранее определены и законны.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Обработка персональных данных Департаментом осуществляется в следующих целях: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выполнение требований трудового законодательства и законодательства о государственной гражданской службе </w:t>
      </w:r>
      <w:r>
        <w:rPr>
          <w:sz w:val="28"/>
        </w:rPr>
        <w:t xml:space="preserve">Новосибирской области</w:t>
      </w:r>
      <w:r>
        <w:rPr>
          <w:sz w:val="28"/>
        </w:rPr>
        <w:t xml:space="preserve">; ведение бухгалтерского, кадрового и воинского учета; </w:t>
      </w:r>
      <w:r>
        <w:rPr>
          <w:sz w:val="28"/>
        </w:rPr>
        <w:t xml:space="preserve">оформление договорных отношений в соответствии с законодательством Российской Федерации (осуществление гражданско-правовых отношений); ведение личных дел (карточек); осуществление расчета заработной платы и иных выплат и удержаний;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формирование кадрового резерва; 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представление граждан к получению наград; 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учет студентов, проходящих производственную практику;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рассмотрение обращений граждан, подготовка ответов на обращения.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Цели обработки персональных данных определяют: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содержание обрабатываемых персональных данных;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категории субъектов, персональные данные которых обрабатываются;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сроки обработки и хранения персональных данных;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порядок уничтожения при достижении целей обработки или при наступлении иных законных оснований.</w:t>
      </w:r>
      <w:r>
        <w:rPr>
          <w:sz w:val="28"/>
        </w:rPr>
      </w:r>
    </w:p>
    <w:p>
      <w:pPr>
        <w:pStyle w:val="705"/>
        <w:numPr>
          <w:ilvl w:val="0"/>
          <w:numId w:val="0"/>
        </w:numPr>
        <w:ind w:left="709"/>
        <w:spacing w:line="240" w:lineRule="auto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03"/>
        <w:ind w:left="0" w:firstLine="709"/>
        <w:spacing w:before="0" w:line="240" w:lineRule="auto"/>
        <w:rPr>
          <w:sz w:val="28"/>
        </w:rPr>
        <w:outlineLvl w:val="9"/>
      </w:pPr>
      <w:r>
        <w:rPr>
          <w:sz w:val="28"/>
        </w:rPr>
        <w:t xml:space="preserve">Принципы обработки персональных данных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Обработка персональных данных в Департаменте осуществляется в соответствии со следующими принципами: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обработка персональных данных должна осуществляться на законной и справедливой основе и ограничиваться достижением конкретных, заранее определенных и законных целей;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не допускается обработка персональных данных, несовместимая с целями сбора персональных данных;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не допускается объединение баз данных, содержащих персональные данные, обработка которых осуществляется в целях, несовместимых между собой;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содержание и объем обрабатываемых персональных данных должны соответствовать заявленным целям обработки и не должны быть избыточными по отношению к заявленным целям их обработки;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при обработке персональных данных должны быть обеспечены точность пе</w:t>
      </w:r>
      <w:r>
        <w:rPr>
          <w:sz w:val="28"/>
        </w:rPr>
        <w:t xml:space="preserve">рсональных данных, их достаточность, а в необходимых случаях и актуальность по отношению к целям обработки персональных данных, оператор должен принимать необходимые меры либо обеспечивать их принятие по удалению или уточнению неполных или неточных данных;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хранение персональных данных должно осуществляться в форме, позволяющей определить субъекта персональных данных,</w:t>
      </w:r>
      <w:r>
        <w:rPr>
          <w:sz w:val="28"/>
        </w:rPr>
        <w:t xml:space="preserve">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поручителем по которому является субъект персональных данных;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  <w:lang w:eastAsia="ru-RU"/>
        </w:rPr>
      </w:pPr>
      <w:r>
        <w:rPr>
          <w:sz w:val="28"/>
        </w:rPr>
        <w:t xml:space="preserve">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  <w:r>
        <w:rPr>
          <w:sz w:val="28"/>
          <w:lang w:eastAsia="ru-RU"/>
        </w:rPr>
      </w:r>
    </w:p>
    <w:p>
      <w:pPr>
        <w:pStyle w:val="705"/>
        <w:numPr>
          <w:ilvl w:val="0"/>
          <w:numId w:val="0"/>
        </w:numPr>
        <w:ind w:left="709"/>
        <w:spacing w:line="240" w:lineRule="auto"/>
        <w:rPr>
          <w:sz w:val="28"/>
          <w:lang w:eastAsia="ru-RU"/>
        </w:rPr>
      </w:pPr>
      <w:r>
        <w:rPr>
          <w:sz w:val="28"/>
          <w:lang w:eastAsia="ru-RU"/>
        </w:rPr>
      </w:r>
      <w:r>
        <w:rPr>
          <w:sz w:val="28"/>
          <w:lang w:eastAsia="ru-RU"/>
        </w:rPr>
      </w:r>
    </w:p>
    <w:p>
      <w:pPr>
        <w:pStyle w:val="703"/>
        <w:ind w:left="0" w:firstLine="709"/>
        <w:spacing w:before="0" w:line="240" w:lineRule="auto"/>
        <w:rPr>
          <w:sz w:val="28"/>
        </w:rPr>
        <w:outlineLvl w:val="9"/>
      </w:pPr>
      <w:r>
        <w:rPr>
          <w:sz w:val="28"/>
        </w:rPr>
        <w:t xml:space="preserve">Условия обработки персональных данных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Обработка персональных данных в Департаменте допускается в следующих случаях: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при наличии согласия субъекта персональных данных на обработку его персональных данных;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обработка персональных данных необходима для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обработка персональных данных необходима для достижения целей, предусмотренных законом, для осуществления и выполнения возложенных законодательством Российской Федерации на оператора функций, полномочий и обязанностей;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обработка персональных данных необходима для исполнения договора, стороной которого либо выгодоприобретателем или </w:t>
      </w:r>
      <w:r>
        <w:rPr>
          <w:sz w:val="28"/>
        </w:rPr>
        <w:t xml:space="preserve">поручителем</w:t>
      </w:r>
      <w:r>
        <w:rPr>
          <w:sz w:val="28"/>
        </w:rP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обработка персональных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обработка персональных данных необходима для осуществления прав и законных интересов оператора или третьих лиц, либо для достижения общественно значимых целей при условии, что при этом не нарушаются права и свободы субъекта персональных данных;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обработка персональных данных, полученных в результате обезличивания персональных данных, осуществляется в целях повышения эффективности государственного управления;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  <w:r>
        <w:rPr>
          <w:sz w:val="28"/>
        </w:rPr>
      </w:r>
    </w:p>
    <w:p>
      <w:pPr>
        <w:pStyle w:val="703"/>
        <w:ind w:left="0" w:firstLine="709"/>
        <w:spacing w:before="0" w:line="240" w:lineRule="auto"/>
        <w:rPr>
          <w:sz w:val="28"/>
        </w:rPr>
        <w:outlineLvl w:val="9"/>
      </w:pPr>
      <w:r>
        <w:rPr>
          <w:sz w:val="28"/>
        </w:rPr>
        <w:t xml:space="preserve">Конфиденциальность персональных данных</w:t>
      </w:r>
      <w:r>
        <w:rPr>
          <w:sz w:val="28"/>
        </w:rPr>
      </w:r>
    </w:p>
    <w:p>
      <w:pPr>
        <w:pStyle w:val="700"/>
        <w:spacing w:line="240" w:lineRule="auto"/>
        <w:rPr>
          <w:sz w:val="28"/>
        </w:rPr>
      </w:pPr>
      <w:r>
        <w:rPr>
          <w:sz w:val="28"/>
        </w:rPr>
        <w:t xml:space="preserve"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  <w:r>
        <w:rPr>
          <w:sz w:val="28"/>
        </w:rPr>
      </w:r>
    </w:p>
    <w:p>
      <w:pPr>
        <w:pStyle w:val="700"/>
        <w:numPr>
          <w:ilvl w:val="0"/>
          <w:numId w:val="0"/>
        </w:numPr>
        <w:ind w:left="709"/>
        <w:spacing w:line="240" w:lineRule="auto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03"/>
        <w:ind w:left="0" w:firstLine="709"/>
        <w:spacing w:before="0" w:line="240" w:lineRule="auto"/>
        <w:rPr>
          <w:sz w:val="28"/>
        </w:rPr>
        <w:outlineLvl w:val="9"/>
      </w:pPr>
      <w:r>
        <w:rPr>
          <w:sz w:val="28"/>
        </w:rPr>
        <w:t xml:space="preserve">Категории субъектов, персональные данные которых обрабатываются, сроки их обработки и хранения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В</w:t>
      </w:r>
      <w:r>
        <w:rPr>
          <w:sz w:val="28"/>
        </w:rPr>
        <w:t xml:space="preserve"> </w:t>
      </w:r>
      <w:r>
        <w:rPr>
          <w:sz w:val="28"/>
        </w:rPr>
        <w:t xml:space="preserve">Департаменте осуществляется обработка персональных данных следующих категорий субъектов персональных данных: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государственные гражданские служащие;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работники, замещающие должности, не относящиеся к должностям государственной гражданской службы;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граждане, персональные данные которых необходимы для рассмотрения обращений граждан;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граждане, включенные в кадровый резерв;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лица, представляемые к награждению.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Персональные данные обрабатываются в сроки, обусловленные заявленными целями их обработки.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Обработка персональных данных осуществляется с момента их получения Департаментом и прекращается: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по достижении целей обработки персональных данных;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в связи с отсутствием необходимости в достижении заранее заявленных целей обработки персональных данных;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в связи с отзывом согласия субъекта персональных данных (или его представителей) на обработку его персональных данных;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в случае выявления неправомерной обработки персональных данных;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в случае истечения установленного срока хранения персональных данных;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в случае прекращение осуществления деятельности оператора или ликвидация оператора.</w:t>
      </w:r>
      <w:r>
        <w:rPr>
          <w:sz w:val="28"/>
        </w:rPr>
      </w:r>
    </w:p>
    <w:p>
      <w:pPr>
        <w:pStyle w:val="700"/>
        <w:spacing w:line="240" w:lineRule="auto"/>
        <w:rPr>
          <w:sz w:val="28"/>
        </w:rPr>
      </w:pPr>
      <w:r>
        <w:rPr>
          <w:sz w:val="28"/>
        </w:rPr>
        <w:t xml:space="preserve">Сроки хранения персональных данных, содержащихся на материальных носителях информации, устанавливаются в соответствии с номенклатурой дел Департамента.</w:t>
      </w:r>
      <w:r>
        <w:rPr>
          <w:sz w:val="28"/>
        </w:rPr>
      </w:r>
    </w:p>
    <w:p>
      <w:pPr>
        <w:pStyle w:val="700"/>
        <w:numPr>
          <w:ilvl w:val="0"/>
          <w:numId w:val="0"/>
        </w:numPr>
        <w:ind w:left="709"/>
        <w:spacing w:line="240" w:lineRule="auto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03"/>
        <w:ind w:left="0" w:firstLine="709"/>
        <w:spacing w:before="0" w:line="240" w:lineRule="auto"/>
        <w:rPr>
          <w:sz w:val="28"/>
        </w:rPr>
        <w:outlineLvl w:val="9"/>
      </w:pPr>
      <w:r>
        <w:rPr>
          <w:sz w:val="28"/>
        </w:rPr>
        <w:t xml:space="preserve">Содержание обрабатываемых персональных данных</w:t>
      </w:r>
      <w:r>
        <w:rPr>
          <w:sz w:val="28"/>
        </w:rPr>
      </w:r>
    </w:p>
    <w:p>
      <w:pPr>
        <w:pStyle w:val="700"/>
        <w:spacing w:line="240" w:lineRule="auto"/>
        <w:rPr>
          <w:sz w:val="28"/>
        </w:rPr>
      </w:pPr>
      <w:r>
        <w:rPr>
          <w:sz w:val="28"/>
        </w:rPr>
        <w:t xml:space="preserve">Перечень персональных данных, обрабатываемых в целях, указанных в </w:t>
      </w:r>
      <w:r>
        <w:rPr>
          <w:sz w:val="28"/>
        </w:rPr>
        <w:t xml:space="preserve">пункте</w:t>
      </w:r>
      <w:r>
        <w:rPr>
          <w:sz w:val="28"/>
        </w:rPr>
        <w:t xml:space="preserve"> </w:t>
      </w:r>
      <w:r>
        <w:rPr>
          <w:sz w:val="28"/>
        </w:rPr>
        <w:t xml:space="preserve">2.2 </w:t>
      </w:r>
      <w:r>
        <w:rPr>
          <w:sz w:val="28"/>
        </w:rPr>
        <w:t xml:space="preserve">настоящих Правил, </w:t>
      </w:r>
      <w:r>
        <w:rPr>
          <w:sz w:val="28"/>
        </w:rPr>
        <w:t xml:space="preserve">содержится </w:t>
      </w:r>
      <w:r>
        <w:rPr>
          <w:sz w:val="28"/>
        </w:rPr>
        <w:t xml:space="preserve">в приложении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700"/>
        <w:numPr>
          <w:ilvl w:val="0"/>
          <w:numId w:val="0"/>
        </w:numPr>
        <w:ind w:left="709"/>
        <w:spacing w:line="240" w:lineRule="auto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03"/>
        <w:ind w:left="0" w:firstLine="709"/>
        <w:spacing w:before="0" w:line="240" w:lineRule="auto"/>
        <w:rPr>
          <w:sz w:val="28"/>
        </w:rPr>
        <w:outlineLvl w:val="9"/>
      </w:pPr>
      <w:r>
        <w:rPr>
          <w:sz w:val="28"/>
        </w:rPr>
        <w:t xml:space="preserve">Обработка персональных данных с согласия субъекта персональных данных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До начала обработки персональных данных оператор получает у субъектов согласие на обработку их персональных данных.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Согласие на обработку персональных данных должно быть конкрет</w:t>
      </w:r>
      <w:r>
        <w:rPr>
          <w:sz w:val="28"/>
        </w:rPr>
        <w:t xml:space="preserve">ным, предметным, информированным, сознательным и однозначным.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форме, если иное не установлено </w:t>
      </w:r>
      <w:r>
        <w:rPr>
          <w:sz w:val="28"/>
        </w:rPr>
        <w:t xml:space="preserve">федеральным законом. </w:t>
      </w:r>
      <w:r>
        <w:rPr>
          <w:sz w:val="28"/>
        </w:rPr>
        <w:t xml:space="preserve">В случаях, предусмотренных федеральным законом, обработка персональных данных осуществляется только с согласия в письменной форме субъекта персональных данных. </w:t>
      </w:r>
      <w:r>
        <w:rPr>
          <w:sz w:val="28"/>
        </w:rPr>
        <w:t xml:space="preserve">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документа, подписанного в соответствии с </w:t>
      </w:r>
      <w:r>
        <w:rPr>
          <w:sz w:val="28"/>
        </w:rPr>
        <w:t xml:space="preserve">федеральным законом </w:t>
      </w:r>
      <w:r>
        <w:rPr>
          <w:sz w:val="28"/>
        </w:rPr>
        <w:t xml:space="preserve">электронной подписью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Персональные данные могут быть получены оператором от лица, не являющегося субъектом персональных данных, при условии предоставления оператору подтверждения наличия оснований, предусмотренных Федеральным законом </w:t>
      </w:r>
      <w:r>
        <w:rPr>
          <w:sz w:val="28"/>
        </w:rPr>
        <w:t xml:space="preserve">№ 152-ФЗ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оператором.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Допускается включение согласия в типовые формы (бланки) материальных носителей персональных данных и в договор с субъектом персональных данных.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Обязанность предоставить доказательство получения согласия субъекта персональных данных на обработку его персональных данных возлагается на оператора.</w:t>
      </w:r>
      <w:r>
        <w:rPr>
          <w:sz w:val="28"/>
        </w:rPr>
      </w:r>
    </w:p>
    <w:p>
      <w:pPr>
        <w:pStyle w:val="700"/>
        <w:spacing w:line="240" w:lineRule="auto"/>
        <w:rPr>
          <w:sz w:val="28"/>
        </w:rPr>
      </w:pPr>
      <w:r>
        <w:rPr>
          <w:sz w:val="28"/>
        </w:rPr>
        <w:t xml:space="preserve">Согласие на обработку персональных данных может быть отозвано субъектом персональных данных путем направления письменного</w:t>
      </w:r>
      <w:r>
        <w:rPr>
          <w:sz w:val="28"/>
          <w:lang w:eastAsia="ru-RU"/>
        </w:rPr>
        <w:t xml:space="preserve"> запроса оператору.</w:t>
      </w:r>
      <w:r>
        <w:rPr>
          <w:sz w:val="28"/>
        </w:rPr>
      </w:r>
    </w:p>
    <w:p>
      <w:pPr>
        <w:pStyle w:val="700"/>
        <w:numPr>
          <w:ilvl w:val="0"/>
          <w:numId w:val="0"/>
        </w:numPr>
        <w:ind w:left="709"/>
        <w:spacing w:line="240" w:lineRule="auto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03"/>
        <w:ind w:left="0" w:firstLine="709"/>
        <w:spacing w:before="0" w:line="240" w:lineRule="auto"/>
        <w:rPr>
          <w:sz w:val="28"/>
        </w:rPr>
        <w:outlineLvl w:val="9"/>
      </w:pPr>
      <w:r>
        <w:rPr>
          <w:sz w:val="28"/>
        </w:rPr>
        <w:t xml:space="preserve">Обработка персональных данных без согласия субъекта персональных данных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Обработка персональных данных без получения согласия на такую обработку от субъекта персональных данных или в случае отзыва согласия субъектом персональных данных может осуществляться оператором при наличии оснований, предусмотренных Федеральным законом </w:t>
      </w:r>
      <w:r>
        <w:rPr>
          <w:sz w:val="28"/>
        </w:rPr>
        <w:t xml:space="preserve">№ 152-ФЗ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700"/>
        <w:spacing w:line="240" w:lineRule="auto"/>
        <w:rPr>
          <w:sz w:val="28"/>
        </w:rPr>
      </w:pPr>
      <w:r>
        <w:rPr>
          <w:sz w:val="28"/>
        </w:rPr>
        <w:t xml:space="preserve">Обязанность предоставить доказательство наличия оснований на обработку персональных данных без согласия субъекта персональных данных возлагается на оператора.</w:t>
      </w:r>
      <w:r>
        <w:rPr>
          <w:sz w:val="28"/>
        </w:rPr>
      </w:r>
    </w:p>
    <w:p>
      <w:pPr>
        <w:pStyle w:val="700"/>
        <w:numPr>
          <w:ilvl w:val="0"/>
          <w:numId w:val="0"/>
        </w:numPr>
        <w:ind w:left="709"/>
        <w:spacing w:line="240" w:lineRule="auto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03"/>
        <w:ind w:left="0" w:firstLine="709"/>
        <w:spacing w:before="0" w:line="240" w:lineRule="auto"/>
        <w:rPr>
          <w:sz w:val="28"/>
        </w:rPr>
        <w:outlineLvl w:val="9"/>
      </w:pPr>
      <w:r>
        <w:rPr>
          <w:sz w:val="28"/>
        </w:rPr>
        <w:t xml:space="preserve">Правила обработки персональных данных, разрешенных субъектом персональных данных для распространения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Персональные данные, разрешенные субъектом персональных данных для распространения, обрабатываются и подлежат защите в соответствии с Федеральным законом </w:t>
      </w:r>
      <w:r>
        <w:rPr>
          <w:sz w:val="28"/>
        </w:rPr>
        <w:t xml:space="preserve">№ 152-ФЗ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Распространение персональных данных субъектов п</w:t>
      </w:r>
      <w:r>
        <w:rPr>
          <w:sz w:val="28"/>
        </w:rPr>
        <w:t xml:space="preserve">ерсональных данных допускается при наличии согласия на обработку персональных данных, разрешенных субъектом персональных данных для распространения, а также в случае обработки персональных данных в целях выполнения возложенных законодательством Российской </w:t>
      </w:r>
      <w:r>
        <w:rPr>
          <w:sz w:val="28"/>
        </w:rPr>
        <w:t xml:space="preserve">Федерации на государственные органы, а </w:t>
      </w:r>
      <w:r>
        <w:rPr>
          <w:sz w:val="28"/>
        </w:rPr>
        <w:t xml:space="preserve">также на подведомственные таким органам организации функций, полномочий и обязанностей.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С целью информационного обеспечения и осуществления взаимодействия со сторонними физическими и юридическими лицами в Департаменте могут создаваться общедоступные источники персональных данных.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В общедоступный источник персональных данных в целях информационно</w:t>
      </w:r>
      <w:r>
        <w:rPr>
          <w:sz w:val="28"/>
        </w:rPr>
        <w:t xml:space="preserve">го обеспечения могут включаться: должность, фамилия, имя, отчество, контактные данные (номер телефона, адрес электронной почты), сведения о профессии и иные персональные данные, сообщаемые субъектом персональных данных и разрешенные им для распространения.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Включение в общедоступные источники персональных данных субъекта персональных данных допускается только на основании его письменного согласия.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Сведения о субъекте персональных данных подлежат исключению из </w:t>
      </w:r>
      <w:r>
        <w:rPr>
          <w:sz w:val="28"/>
        </w:rPr>
        <w:t xml:space="preserve">общедоступных источников при утрате необходимости в обработке таких данных, по требованию субъекта персональных данных либо по решению суда или иных уполномоченных государственных органов в соответствии с действующим законодательством Российской Федерации.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Оператор о</w:t>
      </w:r>
      <w:r>
        <w:rPr>
          <w:sz w:val="28"/>
        </w:rPr>
        <w:t xml:space="preserve">бязан обеспечить субъекту персональных данных возможность определить перечень персональных данных по каждой категории персональных данных, указанной в согласии на обработку персональных данных, разрешенных субъектом персональных данных для распространения.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Согласие на обработку персональных данных, разрешенных субъектом персональных данных для распространения, предоставляется субъектом персональных данных непосредственно оператору.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В случае, если из предоставленного субъектом персональных данных согласия на обработку п</w:t>
      </w:r>
      <w:r>
        <w:rPr>
          <w:sz w:val="28"/>
        </w:rPr>
        <w:t xml:space="preserve">ерсональных данных, разрешенных субъектом персональных данных для распространения, не следует, что субъект персональных данных согласился с распространением персональных данных, такие персональные данные обрабатываются оператором без права распространения.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В случае, если из предоставленного субъектом персональных данных согласия на обработку персональных данных, разрешенных субъектом персональных данных для распространения, не следует, что субъект персональных данных не установил запреты и условия на</w:t>
      </w:r>
      <w:r>
        <w:rPr>
          <w:sz w:val="28"/>
        </w:rPr>
        <w:t xml:space="preserve"> обработку персональных данных, или если в предоставленном субъектом персональных данных таком согласии не указаны категории и перечень персональных данных, для обработки которых субъект персональных данных устанавливает условия и запреты в соответствии с </w:t>
      </w:r>
      <w:r>
        <w:rPr>
          <w:sz w:val="28"/>
        </w:rPr>
        <w:t xml:space="preserve">Федеральным законом </w:t>
      </w:r>
      <w:r>
        <w:rPr>
          <w:sz w:val="28"/>
        </w:rPr>
        <w:t xml:space="preserve">№ 152-ФЗ</w:t>
      </w:r>
      <w:r>
        <w:rPr>
          <w:sz w:val="28"/>
        </w:rPr>
        <w:t xml:space="preserve">, такие персональные данные обрабатываются оператором без передачи (распространения, предоставления, доступа) и возможности осуществления иных действий с персональными данными неограниченному кругу лиц.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Молчание или бездействие субъекта персональных данных ни при каких обстоятельствах не может считаться согласием на обработку персональных данных, разрешенных субъектом персональных данных для распространения.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В согласии на обработку персональных данных, разрешенных субъектом персональных данных для распространения, субъект персональных </w:t>
      </w:r>
      <w:r>
        <w:rPr>
          <w:sz w:val="28"/>
        </w:rPr>
        <w:t xml:space="preserve">данных вправе установить запреты на передачу (кроме предоставления доступа) этих персональных данных операт</w:t>
      </w:r>
      <w:r>
        <w:rPr>
          <w:sz w:val="28"/>
        </w:rPr>
        <w:t xml:space="preserve">ором неограниченному кругу лиц, а также запреты на обработку или условия обработки (кроме получения доступа) этих персональных данных неограниченным кругом лиц. Отказ оператора в установлении субъектом персональных данных запретов и условий не допускается.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Оператор обязуется в срок не позднее трех рабочих дней с момента получени</w:t>
      </w:r>
      <w:r>
        <w:rPr>
          <w:sz w:val="28"/>
        </w:rPr>
        <w:t xml:space="preserve">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данных, разрешенных субъектом персональных данных для распространения.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</w:t>
      </w:r>
      <w:r>
        <w:rPr>
          <w:sz w:val="28"/>
        </w:rPr>
        <w:t xml:space="preserve">персональных данных, разрешенных субъектом персональных данных для распространения, не распространяются на случаи обработки персональных данных в государственных, общественных и иных публичных интересах, определенных законодательством Российской Федерации.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по требованию </w:t>
      </w:r>
      <w:r>
        <w:rPr>
          <w:sz w:val="28"/>
        </w:rPr>
        <w:t xml:space="preserve">субъекта </w:t>
      </w:r>
      <w:r>
        <w:rPr>
          <w:sz w:val="28"/>
        </w:rPr>
        <w:t xml:space="preserve">персональных</w:t>
      </w:r>
      <w:r>
        <w:rPr>
          <w:sz w:val="28"/>
        </w:rPr>
        <w:t xml:space="preserve"> </w:t>
      </w:r>
      <w:r>
        <w:rPr>
          <w:sz w:val="28"/>
        </w:rPr>
        <w:t xml:space="preserve">данных</w:t>
      </w:r>
      <w:r>
        <w:rPr>
          <w:sz w:val="28"/>
        </w:rPr>
        <w:t xml:space="preserve">. Данное требование должно включать в себя фамилию, имя, отчество (при наличии), контактную информацию (н</w:t>
      </w:r>
      <w:r>
        <w:rPr>
          <w:sz w:val="28"/>
        </w:rPr>
        <w:t xml:space="preserve">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оператором.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Оператор обязуется прекратить передачу (распространение, предоставление, доступ) персональных данных в течение трех рабочих дней с момента получения требования субъекта персональных данных.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В случае обработки общедоступных персональных данных обязанность сбора и предоставления доказательств того, что обрабатываемые персона</w:t>
      </w:r>
      <w:r>
        <w:rPr>
          <w:sz w:val="28"/>
        </w:rPr>
        <w:t xml:space="preserve">льные данные являются общедоступными, возлагается на оператора (наличие подтверждения согласия субъекта персональных данных на включение такой информации в общедоступные источники персональных данных или отсутствие необходимости получения такого согласия).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Обязанность предоставить доказательства законности распространения или иной обработки персональных данных лежит на каждом лице, осуществившем их распространение или иную обработку.</w:t>
      </w:r>
      <w:r>
        <w:rPr>
          <w:sz w:val="28"/>
        </w:rPr>
      </w:r>
    </w:p>
    <w:p>
      <w:pPr>
        <w:pStyle w:val="700"/>
        <w:spacing w:line="240" w:lineRule="auto"/>
        <w:rPr>
          <w:sz w:val="28"/>
        </w:rPr>
      </w:pPr>
      <w:r>
        <w:rPr>
          <w:sz w:val="28"/>
        </w:rPr>
        <w:t xml:space="preserve">Оператор освобождается от обязанности предоставить субъекту персональных данных сведения в соответствии с ч. 3 ст. 18 Федерального закона </w:t>
      </w:r>
      <w:r>
        <w:rPr>
          <w:sz w:val="28"/>
        </w:rPr>
        <w:t xml:space="preserve">№ 152-ФЗ</w:t>
      </w:r>
      <w:r>
        <w:rPr>
          <w:sz w:val="28"/>
        </w:rPr>
        <w:t xml:space="preserve">, если обработка </w:t>
      </w:r>
      <w:r>
        <w:rPr>
          <w:sz w:val="28"/>
        </w:rPr>
        <w:t xml:space="preserve">персональных данных</w:t>
      </w:r>
      <w:r>
        <w:rPr>
          <w:sz w:val="28"/>
        </w:rPr>
        <w:t xml:space="preserve">, разрешенных субъектом </w:t>
      </w:r>
      <w:r>
        <w:rPr>
          <w:sz w:val="28"/>
        </w:rPr>
        <w:t xml:space="preserve">персональных данных</w:t>
      </w:r>
      <w:r>
        <w:rPr>
          <w:sz w:val="28"/>
        </w:rPr>
        <w:t xml:space="preserve"> для распространения, осуществляется с соблюдением запретов и условий, предусмотренных Федеральным законом </w:t>
      </w:r>
      <w:r>
        <w:rPr>
          <w:sz w:val="28"/>
        </w:rPr>
        <w:t xml:space="preserve">№ 152-ФЗ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700"/>
        <w:numPr>
          <w:ilvl w:val="0"/>
          <w:numId w:val="0"/>
        </w:numPr>
        <w:ind w:left="709"/>
        <w:spacing w:line="240" w:lineRule="auto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03"/>
        <w:ind w:left="0" w:firstLine="709"/>
        <w:spacing w:before="0" w:line="240" w:lineRule="auto"/>
        <w:rPr>
          <w:sz w:val="28"/>
        </w:rPr>
        <w:outlineLvl w:val="9"/>
      </w:pPr>
      <w:r>
        <w:rPr>
          <w:sz w:val="28"/>
        </w:rPr>
        <w:t xml:space="preserve">Способы обработки персональных данных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В Департаменте обработка персональных данных осуществляется как с использованием, так и без использования средств автоматизации.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Запрещается принятие на основании исключительно автоматизированной обработки персональных данных решений, порождающих юридические последствия в отношении субъекта персональных данных или иным образом затрагивающих его п</w:t>
      </w:r>
      <w:r>
        <w:rPr>
          <w:sz w:val="28"/>
        </w:rPr>
        <w:t xml:space="preserve">рава и законные интересы. Решение, порождающее юридические последствия в отношении субъекта персональных данных или иным образом затрагивающее его права и законные интересы, может быть принято на основании исключительно автоматизированной обработки его пер</w:t>
      </w:r>
      <w:r>
        <w:rPr>
          <w:sz w:val="28"/>
        </w:rPr>
        <w:t xml:space="preserve">сональных данных только при наличии согласия в письменной форме субъекта персональных данных или в случаях, предусмотренных федеральными законами, устанавливающими также меры по обеспечению соблюдения прав и законных интересов субъекта персональных данных.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Обработка персональных данных средствами автоматизации должн</w:t>
      </w:r>
      <w:r>
        <w:rPr>
          <w:sz w:val="28"/>
        </w:rPr>
        <w:t xml:space="preserve">а осуществляться с соблюдением прав и законных интересов субъекта персональных данных на основании правил, положений, инструкций, руководств, регламентов и иных документов, определяющих технологический процесс обработки информации, содержащей такие данные.</w:t>
      </w:r>
      <w:r>
        <w:rPr>
          <w:sz w:val="28"/>
        </w:rPr>
      </w:r>
    </w:p>
    <w:p>
      <w:pPr>
        <w:pStyle w:val="700"/>
        <w:spacing w:line="240" w:lineRule="auto"/>
        <w:rPr>
          <w:sz w:val="28"/>
        </w:rPr>
      </w:pPr>
      <w:r>
        <w:rPr>
          <w:sz w:val="28"/>
        </w:rPr>
        <w:t xml:space="preserve">Особенности обработки персональных данных без использования средств </w:t>
      </w:r>
      <w:r>
        <w:rPr>
          <w:sz w:val="28"/>
        </w:rPr>
        <w:t xml:space="preserve">автоматизации </w:t>
      </w:r>
      <w:r>
        <w:rPr>
          <w:sz w:val="28"/>
        </w:rPr>
        <w:t xml:space="preserve">утверждаются</w:t>
      </w:r>
      <w:r>
        <w:rPr>
          <w:sz w:val="28"/>
        </w:rPr>
        <w:t xml:space="preserve"> </w:t>
      </w:r>
      <w:r>
        <w:rPr>
          <w:sz w:val="28"/>
        </w:rPr>
        <w:t xml:space="preserve">приказом руководителя департамента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700"/>
        <w:numPr>
          <w:ilvl w:val="0"/>
          <w:numId w:val="0"/>
        </w:numPr>
        <w:ind w:left="709"/>
        <w:spacing w:line="240" w:lineRule="auto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03"/>
        <w:ind w:left="0" w:firstLine="709"/>
        <w:spacing w:before="0" w:line="240" w:lineRule="auto"/>
        <w:rPr>
          <w:sz w:val="28"/>
        </w:rPr>
        <w:outlineLvl w:val="9"/>
      </w:pPr>
      <w:r>
        <w:rPr>
          <w:sz w:val="28"/>
        </w:rPr>
        <w:t xml:space="preserve">Сбор, систематизация</w:t>
      </w:r>
      <w:r>
        <w:rPr>
          <w:sz w:val="28"/>
        </w:rPr>
        <w:t xml:space="preserve">, накопление, уточнение и использование персональных данных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Способы сбора и источники получения персональных данных: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предоставление субъектом персональных данных подлинников документов и (или) их копий;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заполнение субъектом персональных данных соответствующих форм;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получение персональных данных от третьих лиц;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получение данных на основании запроса третьим лицам;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сбор данных из общедоступных источников.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Если предоставление персональных данных и (или) получение оператором согласия на обработку персональных данных являютс</w:t>
      </w:r>
      <w:r>
        <w:rPr>
          <w:sz w:val="28"/>
        </w:rPr>
        <w:t xml:space="preserve">я обязательными в соответствии с федеральными законами, иными нормативными правовыми документами, оператор обязан разъяснить субъекту персональных данных юридические последствия отказа предоставить персональные данные и (или) дать согласие на их обработку.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Если основания на обработку персональных данных без получения согласия отсутствуют, то необходимо получение согласия субъекта персональных данных на обработку его персональных данных. Обработка персональных данных без получения такого согласия запрещается.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Если персональные данные получены не от субъекта персональных данных (за исключением случаев, предусмотренных Федеральным законом </w:t>
      </w:r>
      <w:r>
        <w:rPr>
          <w:sz w:val="28"/>
        </w:rPr>
        <w:t xml:space="preserve">№ 152-</w:t>
      </w:r>
      <w:r>
        <w:rPr>
          <w:sz w:val="28"/>
        </w:rPr>
        <w:t xml:space="preserve">ФЗ</w:t>
      </w:r>
      <w:r>
        <w:rPr>
          <w:sz w:val="28"/>
        </w:rPr>
        <w:t xml:space="preserve">) оператор до начала обработки таких персональных данных обязан предоставить субъекту персональных данных следующую информацию: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наименование и адрес оператора или его представителя;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сведения о цели обработки персональных данных и ее правовое основание;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сведения о перечне персональных данных;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сведения о предполагаемых пользователях персональных данных;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сведения о правах субъекта персональных данных;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rFonts w:eastAsia="Times New Roman"/>
          <w:sz w:val="28"/>
        </w:rPr>
        <w:t xml:space="preserve">сведения об источниках получения </w:t>
      </w:r>
      <w:r>
        <w:rPr>
          <w:sz w:val="28"/>
        </w:rPr>
        <w:t xml:space="preserve">персональных данных.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Оператор освобождается от обязанности предоставлять субъекту персональных данных сведения в случаях, если: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субъект персональных данных уведомлен об осуществлении обработки его персональных данных соответствующим оператором;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персональные данные получены на основании федерального закона или в связи с исполнением договора, стороной которого либо выгодоприобретателем или поручителем по которому является субъект персональных данных;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обработка персональных данных, разрешенных субъектом персональных данных для распространения, осуществляется с соблюдением запретов и условий, предусмотренных Федеральным законом </w:t>
      </w:r>
      <w:r>
        <w:rPr>
          <w:sz w:val="28"/>
        </w:rPr>
        <w:t xml:space="preserve">№ 152-ФЗ</w:t>
      </w:r>
      <w:r>
        <w:rPr>
          <w:sz w:val="28"/>
        </w:rPr>
        <w:t xml:space="preserve">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оператор осуществляет обработку персональных данных для статистических или иных исследовательских целей, если при этом не нарушаются права и законные интересы субъекта персональных данных;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предоставление субъекту персональных данных сведений нарушает права и законные интересы третьих лиц.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Систематизация, накопление, уточнение, использование персональных данных в Департаменте осуществляются законными способами в соответствии документами, определяющими технологический процесс обработки информации.</w:t>
      </w:r>
      <w:r>
        <w:rPr>
          <w:sz w:val="28"/>
        </w:rPr>
      </w:r>
    </w:p>
    <w:p>
      <w:pPr>
        <w:pStyle w:val="700"/>
        <w:spacing w:line="240" w:lineRule="auto"/>
        <w:rPr>
          <w:sz w:val="28"/>
        </w:rPr>
      </w:pPr>
      <w:r>
        <w:rPr>
          <w:sz w:val="28"/>
        </w:rPr>
        <w:t xml:space="preserve">Использование персональных данных в Департаменте осуществляется исключительно в заявленных целях. Использование персональных данных в заранее не определенных и не оформленных установленным образом целях не допускается.</w:t>
      </w:r>
      <w:r>
        <w:rPr>
          <w:sz w:val="28"/>
        </w:rPr>
      </w:r>
    </w:p>
    <w:p>
      <w:pPr>
        <w:pStyle w:val="700"/>
        <w:numPr>
          <w:ilvl w:val="0"/>
          <w:numId w:val="0"/>
        </w:numPr>
        <w:ind w:left="709"/>
        <w:spacing w:line="240" w:lineRule="auto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03"/>
        <w:ind w:left="0" w:firstLine="709"/>
        <w:jc w:val="both"/>
        <w:spacing w:before="0" w:line="240" w:lineRule="auto"/>
        <w:rPr>
          <w:sz w:val="28"/>
        </w:rPr>
        <w:outlineLvl w:val="9"/>
      </w:pPr>
      <w:r>
        <w:rPr>
          <w:sz w:val="28"/>
        </w:rPr>
        <w:t xml:space="preserve">Правила обработки персональных данных при поручении обработки персональных данных другому лицу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Департамент впр</w:t>
      </w:r>
      <w:r>
        <w:rPr>
          <w:sz w:val="28"/>
        </w:rPr>
        <w:t xml:space="preserve">аве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 (контракта), либо путем принятия соответствующего акта (далее –</w:t>
      </w:r>
      <w:r>
        <w:rPr>
          <w:sz w:val="28"/>
        </w:rPr>
        <w:t xml:space="preserve"> </w:t>
      </w:r>
      <w:r>
        <w:rPr>
          <w:sz w:val="28"/>
        </w:rPr>
        <w:t xml:space="preserve">поручение оператора).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Лицо, осуществляющее обработку персональных данных по поручению оператора, обязано соблюдать принципы и правила обработки и защиты персональных данных, предусмотренные действующим законодательством Российской Федерации в области персональных данных.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В поручении оператора должны быть определены перечень персональных данных, перечень действий (операций) с персональными данными, которые будут соверш</w:t>
      </w:r>
      <w:r>
        <w:rPr>
          <w:sz w:val="28"/>
        </w:rPr>
        <w:t xml:space="preserve">аться лицом, осуществляющим обработку персональных данных, способы и цели их обработки, установлена обязанность такого лица соблюдать конфиденциальность персональных данных, требования, предусмотренные частью 5 статьи 18 и статьей 18.1 Федерального закона </w:t>
      </w:r>
      <w:r>
        <w:rPr>
          <w:sz w:val="28"/>
        </w:rPr>
        <w:t xml:space="preserve">№ 152-ФЗ</w:t>
      </w:r>
      <w:r>
        <w:rPr>
          <w:sz w:val="28"/>
        </w:rPr>
        <w:t xml:space="preserve">, обязанность по запросу Департамента в течение срока действия поручения Департамент</w:t>
      </w:r>
      <w:r>
        <w:rPr>
          <w:sz w:val="28"/>
        </w:rPr>
        <w:t xml:space="preserve">а, в том числе до обработки персональных данных, предоставлять документы и иную информацию, подтверждающие принятие мер и соблюдение в целях исполнения поручения Департамента требований, установленных в соответствии с частью 3 статьи 6 Федерального закона </w:t>
      </w:r>
      <w:r>
        <w:rPr>
          <w:sz w:val="28"/>
        </w:rPr>
        <w:t xml:space="preserve">№ 152-ФЗ</w:t>
      </w:r>
      <w:r>
        <w:rPr>
          <w:sz w:val="28"/>
        </w:rPr>
        <w:t xml:space="preserve">,</w:t>
      </w:r>
      <w:r>
        <w:rPr>
          <w:sz w:val="28"/>
        </w:rPr>
        <w:t xml:space="preserve"> обеспечивать безопасность персональных данных при их обработке, а также указаны требования к защите обрабатываемых персональных данных, в том числе требование об уведомлении Департамента о случаях, предусмотренных частью 3.1 статьи 21 Федерального закона </w:t>
      </w:r>
      <w:r>
        <w:rPr>
          <w:sz w:val="28"/>
        </w:rPr>
        <w:t xml:space="preserve">№ 152-ФЗ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Лицо, осуществляющее обработку персональных данных по поручению оператора, не обязано</w:t>
      </w:r>
      <w:r>
        <w:rPr>
          <w:sz w:val="28"/>
        </w:rPr>
        <w:t xml:space="preserve"> получать согласие субъекта персональных данных на обработку его персональных данных. В случае необходимости получения согласия на обработку персональных данных от субъекта персональных данных обязанность получения такого согласия возлагается на оператора.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В случае, если оператор поручи</w:t>
      </w:r>
      <w:r>
        <w:rPr>
          <w:sz w:val="28"/>
        </w:rPr>
        <w:t xml:space="preserve">т обработку персональных данных другому лицу, ответственность перед субъектом персональных данных за действия указанного лица несет оператор. Лицо, осуществляющее обработку персональных данных по поручению оператора, несет ответственность перед оператором.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В случае, если оператор поручает обработку</w:t>
      </w:r>
      <w:r>
        <w:rPr>
          <w:sz w:val="28"/>
        </w:rPr>
        <w:t xml:space="preserve"> персональных данных иностранному физическому лицу или иностранному юридическому лицу, ответственность перед субъектом персональных данных за действия указанных лиц несет оператор и лицо, осуществляющее обработку персональных данных по поручению оператора.</w:t>
      </w:r>
      <w:r>
        <w:rPr>
          <w:sz w:val="28"/>
        </w:rPr>
      </w:r>
    </w:p>
    <w:p>
      <w:pPr>
        <w:pStyle w:val="700"/>
        <w:numPr>
          <w:ilvl w:val="0"/>
          <w:numId w:val="0"/>
        </w:numPr>
        <w:ind w:left="709"/>
        <w:spacing w:line="240" w:lineRule="auto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03"/>
        <w:ind w:left="0" w:firstLine="709"/>
        <w:jc w:val="both"/>
        <w:spacing w:before="0" w:line="240" w:lineRule="auto"/>
        <w:rPr>
          <w:sz w:val="28"/>
        </w:rPr>
        <w:outlineLvl w:val="9"/>
      </w:pPr>
      <w:r>
        <w:rPr>
          <w:sz w:val="28"/>
        </w:rPr>
        <w:t xml:space="preserve">Осуществление передачи персональных данных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Передача персональных данных в адрес третьих лиц осуществляется оператором с соблюдением настоящих Правил и действующего законодательства Российской Федерации.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Оператор может использовать следующие способы передачи персональных данных субъектов персональных данных: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  <w:lang w:eastAsia="ru-RU"/>
        </w:rPr>
      </w:pPr>
      <w:r>
        <w:rPr>
          <w:sz w:val="28"/>
          <w:lang w:eastAsia="ru-RU"/>
        </w:rPr>
        <w:t xml:space="preserve">на бумажных носителях информации (почтовая связь; нарочно);</w:t>
      </w:r>
      <w:r>
        <w:rPr>
          <w:sz w:val="28"/>
          <w:lang w:eastAsia="ru-RU"/>
        </w:rPr>
      </w:r>
    </w:p>
    <w:p>
      <w:pPr>
        <w:pStyle w:val="705"/>
        <w:ind w:firstLine="709"/>
        <w:spacing w:line="240" w:lineRule="auto"/>
        <w:rPr>
          <w:sz w:val="28"/>
          <w:lang w:eastAsia="ru-RU"/>
        </w:rPr>
      </w:pPr>
      <w:r>
        <w:rPr>
          <w:sz w:val="28"/>
          <w:lang w:eastAsia="ru-RU"/>
        </w:rPr>
        <w:t xml:space="preserve">в электронном виде (по внутренней сети; по сетям связи общего пользования с выходом за пределы контролируемой зоны; с использованием съемных носителей информации).</w:t>
      </w:r>
      <w:r>
        <w:rPr>
          <w:sz w:val="28"/>
          <w:lang w:eastAsia="ru-RU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Перед</w:t>
      </w:r>
      <w:r>
        <w:rPr>
          <w:sz w:val="28"/>
          <w:lang w:eastAsia="ru-RU"/>
        </w:rPr>
        <w:t xml:space="preserve"> осуществлением передачи </w:t>
      </w:r>
      <w:r>
        <w:rPr>
          <w:sz w:val="28"/>
        </w:rPr>
        <w:t xml:space="preserve">персональных данных сотрудники оператора </w:t>
      </w:r>
      <w:r>
        <w:rPr>
          <w:sz w:val="28"/>
          <w:lang w:eastAsia="ru-RU"/>
        </w:rPr>
        <w:t xml:space="preserve">должны убедиться в наличии правовых оснований на осуществление такой передачи: 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  <w:lang w:eastAsia="ru-RU"/>
        </w:rPr>
        <w:t xml:space="preserve">наличи</w:t>
      </w:r>
      <w:r>
        <w:rPr>
          <w:sz w:val="28"/>
          <w:lang w:eastAsia="ru-RU"/>
        </w:rPr>
        <w:t xml:space="preserve">е</w:t>
      </w:r>
      <w:r>
        <w:rPr>
          <w:sz w:val="28"/>
          <w:lang w:eastAsia="ru-RU"/>
        </w:rPr>
        <w:t xml:space="preserve"> согласия субъекта </w:t>
      </w:r>
      <w:r>
        <w:rPr>
          <w:sz w:val="28"/>
          <w:lang w:eastAsia="ru-RU"/>
        </w:rPr>
        <w:t xml:space="preserve">п</w:t>
      </w:r>
      <w:r>
        <w:rPr>
          <w:sz w:val="28"/>
          <w:lang w:eastAsia="ru-RU"/>
        </w:rPr>
        <w:t xml:space="preserve">ерсональных данных</w:t>
      </w:r>
      <w:r>
        <w:rPr>
          <w:sz w:val="28"/>
          <w:lang w:eastAsia="ru-RU"/>
        </w:rPr>
        <w:t xml:space="preserve"> на передачу его </w:t>
      </w:r>
      <w:r>
        <w:rPr>
          <w:sz w:val="28"/>
          <w:lang w:eastAsia="ru-RU"/>
        </w:rPr>
        <w:t xml:space="preserve">п</w:t>
      </w:r>
      <w:r>
        <w:rPr>
          <w:sz w:val="28"/>
          <w:lang w:eastAsia="ru-RU"/>
        </w:rPr>
        <w:t xml:space="preserve">ерсональных данных</w:t>
      </w:r>
      <w:r>
        <w:rPr>
          <w:sz w:val="28"/>
          <w:lang w:eastAsia="ru-RU"/>
        </w:rPr>
        <w:t xml:space="preserve"> в адрес третьих л</w:t>
      </w:r>
      <w:r>
        <w:rPr>
          <w:sz w:val="28"/>
          <w:lang w:eastAsia="ru-RU"/>
        </w:rPr>
        <w:t xml:space="preserve">иц или наличии иных законных оснований: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 xml:space="preserve">достижение целей, предусмотренных законодательством Российской Федерации;</w:t>
      </w:r>
      <w:r>
        <w:rPr>
          <w:rFonts w:eastAsia="Times New Roman"/>
          <w:sz w:val="28"/>
          <w:lang w:eastAsia="ru-RU"/>
        </w:rPr>
      </w:r>
    </w:p>
    <w:p>
      <w:pPr>
        <w:pStyle w:val="705"/>
        <w:ind w:firstLine="709"/>
        <w:spacing w:line="240" w:lineRule="auto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 xml:space="preserve">исполнение возложенных законодательством Российской Федерации на оператора функций, полномочий и обязанностей;</w:t>
      </w:r>
      <w:r>
        <w:rPr>
          <w:rFonts w:eastAsia="Times New Roman"/>
          <w:sz w:val="28"/>
          <w:lang w:eastAsia="ru-RU"/>
        </w:rPr>
      </w:r>
    </w:p>
    <w:p>
      <w:pPr>
        <w:pStyle w:val="705"/>
        <w:ind w:firstLine="709"/>
        <w:spacing w:line="240" w:lineRule="auto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 xml:space="preserve">реализация или заключение договора (стороной которого, выгодоприобретателем или </w:t>
      </w:r>
      <w:r>
        <w:rPr>
          <w:rFonts w:eastAsia="Times New Roman"/>
          <w:sz w:val="28"/>
          <w:lang w:eastAsia="ru-RU"/>
        </w:rPr>
        <w:t xml:space="preserve">поручителем</w:t>
      </w:r>
      <w:r>
        <w:rPr>
          <w:rFonts w:eastAsia="Times New Roman"/>
          <w:sz w:val="28"/>
          <w:lang w:eastAsia="ru-RU"/>
        </w:rPr>
        <w:t xml:space="preserve"> по которому является субъект </w:t>
      </w:r>
      <w:r>
        <w:rPr>
          <w:sz w:val="28"/>
        </w:rPr>
        <w:t xml:space="preserve">персональных данных</w:t>
      </w:r>
      <w:r>
        <w:rPr>
          <w:rFonts w:eastAsia="Times New Roman"/>
          <w:sz w:val="28"/>
          <w:lang w:eastAsia="ru-RU"/>
        </w:rPr>
        <w:t xml:space="preserve">) с третьей стороной, в адрес которой осуществляется передача </w:t>
      </w:r>
      <w:r>
        <w:rPr>
          <w:sz w:val="28"/>
        </w:rPr>
        <w:t xml:space="preserve">персональных данных</w:t>
      </w:r>
      <w:r>
        <w:rPr>
          <w:rFonts w:eastAsia="Times New Roman"/>
          <w:sz w:val="28"/>
          <w:lang w:eastAsia="ru-RU"/>
        </w:rPr>
        <w:t xml:space="preserve">.</w:t>
      </w:r>
      <w:r>
        <w:rPr>
          <w:rFonts w:eastAsia="Times New Roman"/>
          <w:sz w:val="28"/>
          <w:lang w:eastAsia="ru-RU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Персональные данные, </w:t>
      </w:r>
      <w:r>
        <w:rPr>
          <w:sz w:val="28"/>
        </w:rPr>
        <w:t xml:space="preserve">хранящиеся на машинных носителях информации, подлежат уничтожению (стиранию) при передаче машинных носителей информации между пользователями, в сторонние организации для ремонта или утилизации в порядке, установленном положениями локальных актов оператора.</w:t>
      </w:r>
      <w:r>
        <w:rPr>
          <w:sz w:val="28"/>
        </w:rPr>
      </w:r>
    </w:p>
    <w:p>
      <w:pPr>
        <w:pStyle w:val="700"/>
        <w:spacing w:line="240" w:lineRule="auto"/>
        <w:rPr>
          <w:sz w:val="28"/>
        </w:rPr>
      </w:pPr>
      <w:r>
        <w:rPr>
          <w:sz w:val="28"/>
        </w:rPr>
        <w:t xml:space="preserve">Передача персональных данных должна осуществляться с использованием методов и способов, а также с принятием мер, исключающих неправомерный или случайный доступ к передаваемым персональным данным, </w:t>
      </w:r>
      <w:r>
        <w:rPr>
          <w:sz w:val="28"/>
        </w:rPr>
        <w:t xml:space="preserve">следствием которого может стать уничтожение, изменение, блокирование, копирование, предоставление, распространение персональных данных, а также иные неправомерные действия.</w:t>
      </w:r>
      <w:r>
        <w:rPr>
          <w:sz w:val="28"/>
        </w:rPr>
      </w:r>
    </w:p>
    <w:p>
      <w:pPr>
        <w:pStyle w:val="700"/>
        <w:spacing w:line="240" w:lineRule="auto"/>
        <w:rPr>
          <w:sz w:val="28"/>
        </w:rPr>
      </w:pPr>
      <w:r>
        <w:rPr>
          <w:sz w:val="28"/>
        </w:rPr>
        <w:t xml:space="preserve">В целях обеспечения контроля пер</w:t>
      </w:r>
      <w:r>
        <w:rPr>
          <w:sz w:val="28"/>
        </w:rPr>
        <w:t xml:space="preserve">едачи персональных данных третьим лицам сведения о лице, направившем запрос, дата передачи персональных данных или дата уведомления об отказе в их предоставлении, а также состав переданной информации фиксируются в Журнале учета передачи персональных данных</w:t>
      </w:r>
      <w:r>
        <w:rPr>
          <w:sz w:val="28"/>
        </w:rPr>
        <w:t xml:space="preserve">, форма которого утверждается приказом руководителя департамента.</w:t>
      </w:r>
      <w:r>
        <w:rPr>
          <w:sz w:val="28"/>
        </w:rPr>
      </w:r>
    </w:p>
    <w:p>
      <w:pPr>
        <w:pStyle w:val="700"/>
        <w:numPr>
          <w:ilvl w:val="0"/>
          <w:numId w:val="0"/>
        </w:numPr>
        <w:ind w:left="709"/>
        <w:spacing w:line="240" w:lineRule="auto"/>
        <w:rPr>
          <w:sz w:val="28"/>
          <w:highlight w:val="yellow"/>
        </w:rPr>
      </w:pPr>
      <w:r>
        <w:rPr>
          <w:sz w:val="28"/>
          <w:highlight w:val="yellow"/>
        </w:rPr>
      </w:r>
      <w:r>
        <w:rPr>
          <w:sz w:val="28"/>
          <w:highlight w:val="yellow"/>
        </w:rPr>
      </w:r>
    </w:p>
    <w:p>
      <w:pPr>
        <w:pStyle w:val="703"/>
        <w:ind w:left="0" w:firstLine="709"/>
        <w:spacing w:before="0" w:line="240" w:lineRule="auto"/>
        <w:rPr>
          <w:sz w:val="28"/>
        </w:rPr>
        <w:outlineLvl w:val="9"/>
      </w:pPr>
      <w:r>
        <w:rPr>
          <w:sz w:val="28"/>
        </w:rPr>
        <w:t xml:space="preserve">Хранение персональных данных и сроки их обработки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Хранение персональных данных осуществляется в форме, позволяющей определить субъе</w:t>
      </w:r>
      <w:r>
        <w:rPr>
          <w:sz w:val="28"/>
        </w:rPr>
        <w:t xml:space="preserve">кта персональных данных, не дольше, чем этого требуют цели обработки персональных данных, если срок хранения персональных данных не установлен законодательством Российской Федерации и (или) договором, стороной которого является субъект персональных данных.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В процессе хранения персональных данных субъектов персональных данных необходимо обеспечивать контроль за достоверностью и полнотой персональных данных, их регулярное обновление и внесение по мере необходимости соответствующих изменений.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Хранение персональных данных должно осуществляться на таки</w:t>
      </w:r>
      <w:r>
        <w:rPr>
          <w:sz w:val="28"/>
        </w:rPr>
        <w:t xml:space="preserve">х материальных носителях информации и с применением такой технологии ее хранения, которые обеспечивают защиту этих данных от неправомерного или случайного доступа к ним, их уничтожения, изменения, блокирования, копирования, предоставления, распространения.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Ключи от шкафов и сейфов, в которых хранятся сведения о субъектах персональных данных, находятся у ответственных сотрудников.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Материальные носители персональных данных, обработка которых осуществляется в различных целях, должны храниться отдельно.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При хранении материальных носителей персональных данных должны соблюдаться условия, обеспечивающие сохранность персональных данных и исключающие несанкционированный к ним доступ. Должны быть определены места хранения</w:t>
      </w:r>
      <w:r>
        <w:rPr>
          <w:sz w:val="28"/>
        </w:rPr>
        <w:t xml:space="preserve"> </w:t>
      </w:r>
      <w:r>
        <w:rPr>
          <w:sz w:val="28"/>
        </w:rPr>
        <w:t xml:space="preserve">персональных данных и определен перечень лиц, осуществляющих обработку </w:t>
      </w:r>
      <w:r>
        <w:rPr>
          <w:sz w:val="28"/>
        </w:rPr>
        <w:t xml:space="preserve">п</w:t>
      </w:r>
      <w:r>
        <w:rPr>
          <w:sz w:val="28"/>
        </w:rPr>
        <w:t xml:space="preserve">ерсональных данных</w:t>
      </w:r>
      <w:r>
        <w:rPr>
          <w:sz w:val="28"/>
        </w:rPr>
        <w:t xml:space="preserve"> (в том числе без использования средств автоматизации) либо имеющих к ним доступ</w:t>
      </w:r>
      <w:r>
        <w:rPr>
          <w:sz w:val="28"/>
        </w:rPr>
        <w:t xml:space="preserve">, утверждаемые приказом руководителя департамента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Обеспечение безопасности и учет машинных носителей информации, используемых в Департаменте для хранения персональных данных, осуществляется в порядке, </w:t>
      </w:r>
      <w:r>
        <w:rPr>
          <w:sz w:val="28"/>
        </w:rPr>
        <w:t xml:space="preserve">регламентирующ</w:t>
      </w:r>
      <w:r>
        <w:rPr>
          <w:sz w:val="28"/>
        </w:rPr>
        <w:t xml:space="preserve">ем</w:t>
      </w:r>
      <w:r>
        <w:rPr>
          <w:sz w:val="28"/>
        </w:rPr>
        <w:t xml:space="preserve"> правила </w:t>
      </w:r>
      <w:r>
        <w:rPr>
          <w:sz w:val="28"/>
        </w:rPr>
        <w:t xml:space="preserve">обращения с машинными носителями информации.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Обязанности по организаци</w:t>
      </w:r>
      <w:r>
        <w:rPr>
          <w:sz w:val="28"/>
        </w:rPr>
        <w:t xml:space="preserve">и хранения материальных носителей персональных данных в Департаменте возлагаются на ответственных за организацию обработки персональных данных в Департаменте и руководителей структурных подразделений, в которых осуществляется обработка персональных данных.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На основании определенных целей обработки персональных данных, способов обработки и образующихся в процессе такой обработки различных видов документов устанавливаются сроки обработки персональных данных, в том числе хранения.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Обрабатываем</w:t>
      </w:r>
      <w:r>
        <w:rPr>
          <w:sz w:val="28"/>
        </w:rPr>
        <w:t xml:space="preserve">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законодательством Российской Федерации в сфере обработки персональных данных.</w:t>
      </w:r>
      <w:r>
        <w:rPr>
          <w:sz w:val="28"/>
        </w:rPr>
      </w:r>
    </w:p>
    <w:p>
      <w:pPr>
        <w:pStyle w:val="700"/>
        <w:spacing w:line="240" w:lineRule="auto"/>
        <w:rPr>
          <w:sz w:val="28"/>
        </w:rPr>
      </w:pPr>
      <w:r>
        <w:rPr>
          <w:sz w:val="28"/>
        </w:rPr>
        <w:t xml:space="preserve">Определение организации и сроков хранения, комплектования, учета и использования содержащих персональные данные архивных документов осуществляется в соответствии с требованиями законодательства об архивном деле в Российской Федерации.</w:t>
      </w:r>
      <w:r>
        <w:rPr>
          <w:sz w:val="28"/>
        </w:rPr>
      </w:r>
    </w:p>
    <w:p>
      <w:pPr>
        <w:pStyle w:val="700"/>
        <w:numPr>
          <w:ilvl w:val="0"/>
          <w:numId w:val="0"/>
        </w:numPr>
        <w:ind w:left="709"/>
        <w:spacing w:line="240" w:lineRule="auto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03"/>
        <w:ind w:left="0" w:firstLine="709"/>
        <w:spacing w:before="0" w:line="240" w:lineRule="auto"/>
        <w:rPr>
          <w:sz w:val="28"/>
        </w:rPr>
        <w:outlineLvl w:val="9"/>
      </w:pPr>
      <w:r>
        <w:rPr>
          <w:sz w:val="28"/>
        </w:rPr>
        <w:t xml:space="preserve">Порядок блокирования персональных данных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Блокирование персональных данных осуществляется: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в случае выявления неправомерной обработки персональных данных при обращении субъекта персона</w:t>
      </w:r>
      <w:r>
        <w:rPr>
          <w:sz w:val="28"/>
        </w:rPr>
        <w:t xml:space="preserve">льных данных или его представителя, либо по запросу субъекта персональных данных или его представителя, либо уполномоченного органа по защите прав субъектов персональных данных с момента такого обращения или получения указанного запроса на период проверки;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в случае отсутствия возможности уничтожения персональных данных в устано</w:t>
      </w:r>
      <w:r>
        <w:rPr>
          <w:sz w:val="28"/>
        </w:rPr>
        <w:t xml:space="preserve">вленные сроки до их уничтожения;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в</w:t>
      </w:r>
      <w:r>
        <w:rPr>
          <w:sz w:val="28"/>
        </w:rPr>
        <w:t xml:space="preserve"> случае выявления неточных персональных данных при обращении субъекта персональных данных или его представителя либо по их запросу или по запросу у</w:t>
      </w:r>
      <w:r>
        <w:rPr>
          <w:sz w:val="28"/>
        </w:rPr>
        <w:t xml:space="preserve">полномоченного органа по защите прав субъектов персональных данных оператор обязан осуществить блокирование персональных данных, относящихся к этому субъекту персональных данных, или обеспечить их блокирование (если обработка персональных данных осуществля</w:t>
      </w:r>
      <w:r>
        <w:rPr>
          <w:sz w:val="28"/>
        </w:rPr>
        <w:t xml:space="preserve">ется другим лицом, действующим по поручению оператора)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После устранения выявленной неправомерной обработки </w:t>
      </w:r>
      <w:r>
        <w:rPr>
          <w:sz w:val="28"/>
        </w:rPr>
        <w:t xml:space="preserve">либо после уточнения </w:t>
      </w:r>
      <w:r>
        <w:rPr>
          <w:sz w:val="28"/>
        </w:rPr>
        <w:t xml:space="preserve">персональных данных осуществляется снятие блокирования персональных данных.</w:t>
      </w:r>
      <w:r>
        <w:rPr>
          <w:sz w:val="28"/>
        </w:rPr>
      </w:r>
    </w:p>
    <w:p>
      <w:pPr>
        <w:pStyle w:val="700"/>
        <w:spacing w:line="240" w:lineRule="auto"/>
        <w:rPr>
          <w:sz w:val="28"/>
        </w:rPr>
      </w:pPr>
      <w:r>
        <w:rPr>
          <w:sz w:val="28"/>
        </w:rPr>
        <w:t xml:space="preserve">Решение о блокировании и снятии блокирования персональных данных субъекта персональных данных принимается ответственными за организацию обработки персональных данных в Департаменте.</w:t>
      </w:r>
      <w:r>
        <w:rPr>
          <w:sz w:val="28"/>
        </w:rPr>
      </w:r>
    </w:p>
    <w:p>
      <w:pPr>
        <w:pStyle w:val="700"/>
        <w:numPr>
          <w:ilvl w:val="0"/>
          <w:numId w:val="0"/>
        </w:numPr>
        <w:ind w:left="709"/>
        <w:spacing w:line="240" w:lineRule="auto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03"/>
        <w:ind w:left="0" w:firstLine="709"/>
        <w:spacing w:before="0" w:line="240" w:lineRule="auto"/>
        <w:rPr>
          <w:sz w:val="28"/>
        </w:rPr>
        <w:outlineLvl w:val="9"/>
      </w:pPr>
      <w:r>
        <w:rPr>
          <w:sz w:val="28"/>
        </w:rPr>
        <w:t xml:space="preserve">Порядок уничтожения персональных данных при достижении целей обработки или при наступлении иных законных оснований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Оператор обязан уничтожить или обеспечить уничтожение персональных данных (если обработка персональных данных осуществляется другим лицом, действующим по поручению оператора) в следующих случаях: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при достижении целей обработки или в случае утраты необходимости в достижении этих целей, если иное не предусмотрено федеральным законом (</w:t>
      </w:r>
      <w:r>
        <w:rPr>
          <w:rFonts w:eastAsia="Times New Roman"/>
          <w:sz w:val="28"/>
          <w:lang w:eastAsia="ru-RU"/>
        </w:rPr>
        <w:t xml:space="preserve">в срок, не превышающий тридцати дней с даты достижения цели обработки персональных данных, если иное не предусмотрено договором, стороной которого, выгодоприобретателем или поручителем по ко</w:t>
      </w:r>
      <w:r>
        <w:rPr>
          <w:rFonts w:eastAsia="Times New Roman"/>
          <w:sz w:val="28"/>
          <w:lang w:eastAsia="ru-RU"/>
        </w:rPr>
        <w:t xml:space="preserve">торому является субъект персональных данных,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основаниях, предусмотренных </w:t>
      </w:r>
      <w:r>
        <w:rPr>
          <w:rFonts w:eastAsia="Times New Roman"/>
          <w:sz w:val="28"/>
        </w:rPr>
        <w:t xml:space="preserve">Федеральным законом </w:t>
      </w:r>
      <w:r>
        <w:rPr>
          <w:sz w:val="28"/>
        </w:rPr>
        <w:t xml:space="preserve">№ 152-ФЗ  </w:t>
      </w:r>
      <w:r>
        <w:rPr>
          <w:rFonts w:eastAsia="Times New Roman"/>
          <w:sz w:val="28"/>
          <w:lang w:eastAsia="ru-RU"/>
        </w:rPr>
        <w:t xml:space="preserve">или другими федеральными законами)</w:t>
      </w:r>
      <w:r>
        <w:rPr>
          <w:sz w:val="28"/>
        </w:rPr>
        <w:t xml:space="preserve">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персональные данные являются незаконно полученными или не являются необходимыми для заявленной цели обработки (в</w:t>
      </w:r>
      <w:r>
        <w:rPr>
          <w:rFonts w:eastAsia="Times New Roman"/>
          <w:sz w:val="28"/>
          <w:lang w:eastAsia="ru-RU"/>
        </w:rPr>
        <w:t xml:space="preserve"> срок, не превышающий семи рабочих дней);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в случае выявления неправомерной обработки персональных данных, если обеспечить правомерность обработки персональных данных невозможно (</w:t>
      </w:r>
      <w:r>
        <w:rPr>
          <w:rFonts w:eastAsia="Times New Roman"/>
          <w:sz w:val="28"/>
          <w:lang w:eastAsia="ru-RU"/>
        </w:rPr>
        <w:t xml:space="preserve">в срок, не превышающий десяти рабочих дней с даты выявления неправомерной обработки персональных данных);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в случае отзыва субъектом </w:t>
      </w:r>
      <w:r>
        <w:rPr>
          <w:sz w:val="28"/>
        </w:rPr>
        <w:t xml:space="preserve">п</w:t>
      </w:r>
      <w:r>
        <w:rPr>
          <w:sz w:val="28"/>
        </w:rPr>
        <w:t xml:space="preserve">ерсональных данных</w:t>
      </w:r>
      <w:r>
        <w:rPr>
          <w:sz w:val="28"/>
        </w:rPr>
        <w:t xml:space="preserve"> согласия на обработку его </w:t>
      </w:r>
      <w:r>
        <w:rPr>
          <w:sz w:val="28"/>
        </w:rPr>
        <w:t xml:space="preserve">п</w:t>
      </w:r>
      <w:r>
        <w:rPr>
          <w:sz w:val="28"/>
        </w:rPr>
        <w:t xml:space="preserve">ерсональных данных</w:t>
      </w:r>
      <w:r>
        <w:rPr>
          <w:sz w:val="28"/>
        </w:rPr>
        <w:t xml:space="preserve"> и в случае, если сохранение персональных данных более не требуется для целей обработки персональных данных (</w:t>
      </w:r>
      <w:r>
        <w:rPr>
          <w:rFonts w:eastAsia="Times New Roman"/>
          <w:sz w:val="28"/>
          <w:lang w:eastAsia="ru-RU"/>
        </w:rPr>
        <w:t xml:space="preserve">в срок, не превышающий тридцати дней с даты поступления указанного отзыва, если иное не предусмотрено договором, стороной которого, выгодоприобретателем или поручителем по </w:t>
      </w:r>
      <w:r>
        <w:rPr>
          <w:rFonts w:eastAsia="Times New Roman"/>
          <w:sz w:val="28"/>
          <w:lang w:eastAsia="ru-RU"/>
        </w:rPr>
        <w:t xml:space="preserve">ко</w:t>
      </w:r>
      <w:r>
        <w:rPr>
          <w:rFonts w:eastAsia="Times New Roman"/>
          <w:sz w:val="28"/>
          <w:lang w:eastAsia="ru-RU"/>
        </w:rPr>
        <w:t xml:space="preserve">торому является субъект персональных данных,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основаниях, предусмотренных </w:t>
      </w:r>
      <w:r>
        <w:rPr>
          <w:rFonts w:eastAsia="Times New Roman"/>
          <w:sz w:val="28"/>
        </w:rPr>
        <w:t xml:space="preserve">Федеральным законом </w:t>
      </w:r>
      <w:r>
        <w:rPr>
          <w:sz w:val="28"/>
        </w:rPr>
        <w:t xml:space="preserve">№ 152-ФЗ </w:t>
      </w:r>
      <w:r>
        <w:rPr>
          <w:rFonts w:eastAsia="Times New Roman"/>
          <w:sz w:val="28"/>
          <w:lang w:eastAsia="ru-RU"/>
        </w:rPr>
        <w:t xml:space="preserve">или другими федеральными законами);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rFonts w:eastAsia="Times New Roman"/>
          <w:sz w:val="28"/>
          <w:lang w:eastAsia="ru-RU"/>
        </w:rPr>
        <w:t xml:space="preserve">в случае обращения субъекта персональных данных к оператору с требованием о прекращении обработки</w:t>
      </w:r>
      <w:r>
        <w:rPr>
          <w:rFonts w:eastAsia="Times New Roman"/>
          <w:sz w:val="28"/>
          <w:lang w:eastAsia="ru-RU"/>
        </w:rPr>
        <w:t xml:space="preserve"> персональных данных (в срок, не превышающий десяти рабочих дней с даты получения оператором соответствующего требования, за исключением случаев, предусмотренных пунктами 2 - 11 части 1 статьи 6, частью 2 статьи 10 и частью 2 статьи 11 Федерального закона </w:t>
      </w:r>
      <w:r>
        <w:rPr>
          <w:sz w:val="28"/>
        </w:rPr>
        <w:t xml:space="preserve">№ 152-ФЗ</w:t>
      </w:r>
      <w:r>
        <w:rPr>
          <w:rFonts w:eastAsia="Times New Roman"/>
          <w:sz w:val="28"/>
          <w:lang w:eastAsia="ru-RU"/>
        </w:rPr>
        <w:t xml:space="preserve">. 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информации).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В случае отсутствия возможности уничтожения персональных данных в течение сроков, указанных в пункте 17.1 настоящих Правил, Департамент осуществляет блокирование таких персональных данных или обеспечива</w:t>
      </w:r>
      <w:r>
        <w:rPr>
          <w:sz w:val="28"/>
        </w:rPr>
        <w:t xml:space="preserve">ет их блокирование (если обработка персональных данных осуществляется другим лицом, действующим по поручению Департамента) и обеспечивает уничтожение персональных данных в срок не более чем шесть месяцев, если иной срок не установлен федеральными законами.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При уничтожении персональных данных необходимо: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убедиться в необходимости уничтожения персональных данных;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убедиться в том, что уничтожаются те персональные данные, которые предназначены для уничтожения;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уничтожить персональные данные подходящим способом в соответствии с нижеследующими требованиями или способом, указанным в соответствующем распорядительном документе или технологической инструкции;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при необходимости уведомить об уничтожении персональных данных требуемых лиц.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При необходимости уничтожения персональных данных оператор должен руководствоваться следующими требованиями: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бумажные носители, содержащие персональные данные, должны уничтожаться при помощи специального оборудования (уничтожителей (</w:t>
      </w:r>
      <w:r>
        <w:rPr>
          <w:sz w:val="28"/>
        </w:rPr>
        <w:t xml:space="preserve">измельчителей</w:t>
      </w:r>
      <w:r>
        <w:rPr>
          <w:sz w:val="28"/>
        </w:rPr>
        <w:t xml:space="preserve">) бумаги);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персональные данные, представленные в электронном виде, должны уничтожаться специализированным программным обеспечением, гарантирующим предотвращение восстановления удаленных данных;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после окончания процедуры уничтожения персональных данных и (или) материальных носителей персональных данных должен быть составлен соответствующий акт уничтожения;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в случае необходимости физическое уничтожение машинных носителей персональных данных осуществляется путем физического разрушения или сильной деформации носителя;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контроль за своевременным уничтожением персональных данных осуществляют ответственные за организацию обработки персональных данных в Департаменте.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Уничтожение (стирание) информации на машинных носителях (в том числе при их передаче между пользователями,</w:t>
      </w:r>
      <w:r>
        <w:rPr>
          <w:sz w:val="28"/>
        </w:rPr>
        <w:t xml:space="preserve"> в сторонние организации для ремонта или утилизации), а также уничтожение машинных носителей информации производится в порядке, установленном локальными актами оператора, регламентирующими правила обращения с машинными носителями информации в Департаменте.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Уничтожение части персональных данных (обрабатываемых с использованием и без использования средств автоматизации), ес</w:t>
      </w:r>
      <w:r>
        <w:rPr>
          <w:sz w:val="28"/>
        </w:rPr>
        <w:t xml:space="preserve">ли это допускается материальным носителем, может производиться способом, исключающим дальнейшую обработку этих персональных данных с сохранением возможности обработки иных данных, зафиксированных на материальном носителе (удаление, зачеркивание, стирание).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При необходимости уничтожения части персональных данных</w:t>
      </w:r>
      <w:r>
        <w:rPr>
          <w:sz w:val="28"/>
        </w:rPr>
        <w:t xml:space="preserve"> допускается уничтожать материальный носитель одним из указанных в настоящих Правилах способов, с предварительным копированием сведений, не подлежащих уничтожению, способом, исключающим одновременное копирование персональных данных, подлежащих уничтожению.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Уничтожение документов, содержащих персональные данные, утративших свое практическое значение и не подлежащих архивному хранению, производится на основании акта уничтожения персональных данных по утвержденной Департаментом форме.</w:t>
      </w:r>
      <w:r>
        <w:rPr>
          <w:sz w:val="28"/>
        </w:rPr>
      </w:r>
    </w:p>
    <w:p>
      <w:pPr>
        <w:pStyle w:val="700"/>
        <w:spacing w:line="240" w:lineRule="auto"/>
        <w:rPr>
          <w:sz w:val="28"/>
        </w:rPr>
      </w:pPr>
      <w:r>
        <w:rPr>
          <w:sz w:val="28"/>
        </w:rPr>
        <w:t xml:space="preserve">Хранение актов об уничтожении персональных данных и (или) материальных носителей персональных данных осуществляется в течение срока исковой давности, если иное не установлено нормативными правовыми актами Российской Федерации.</w:t>
      </w:r>
      <w:r>
        <w:rPr>
          <w:sz w:val="28"/>
        </w:rPr>
      </w:r>
    </w:p>
    <w:p>
      <w:pPr>
        <w:pStyle w:val="700"/>
        <w:numPr>
          <w:ilvl w:val="0"/>
          <w:numId w:val="0"/>
        </w:numPr>
        <w:ind w:left="709"/>
        <w:spacing w:line="240" w:lineRule="auto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03"/>
        <w:ind w:left="0" w:firstLine="709"/>
        <w:spacing w:before="0" w:line="240" w:lineRule="auto"/>
        <w:rPr>
          <w:sz w:val="28"/>
        </w:rPr>
        <w:outlineLvl w:val="9"/>
      </w:pPr>
      <w:r>
        <w:rPr>
          <w:sz w:val="28"/>
        </w:rPr>
        <w:t xml:space="preserve">Процедуры, направленные на выявление и предотвращение нарушений законодательства Российской Федера</w:t>
      </w:r>
      <w:r>
        <w:rPr>
          <w:sz w:val="28"/>
        </w:rPr>
        <w:t xml:space="preserve">ции в сфере персональных данных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Требования по защите персональных данных устанавливаются федеральными законами и иными нормативными правовыми актами.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Всеми сот</w:t>
      </w:r>
      <w:r>
        <w:rPr>
          <w:sz w:val="28"/>
        </w:rPr>
        <w:t xml:space="preserve">рудниками Департамента, получающими доступ к персональным данным, должен обеспечиваться установленный порядок защиты таких данных. Обработка персональных данных в Департаменте без принятия мер по обеспечению безопасности персональных данных не допускается.</w:t>
      </w:r>
      <w:r>
        <w:rPr>
          <w:sz w:val="28"/>
        </w:rPr>
      </w:r>
    </w:p>
    <w:p>
      <w:pPr>
        <w:pStyle w:val="700"/>
        <w:ind w:left="0"/>
        <w:spacing w:line="240" w:lineRule="auto"/>
        <w:rPr>
          <w:sz w:val="28"/>
        </w:rPr>
      </w:pPr>
      <w:r>
        <w:rPr>
          <w:sz w:val="28"/>
        </w:rPr>
        <w:t xml:space="preserve">Оператор при обработке персональных данных обязан принимать необходимые правовые, организационные и технические меры или обеспечивать их принятие для защиты перс</w:t>
      </w:r>
      <w:r>
        <w:rPr>
          <w:sz w:val="28"/>
        </w:rPr>
        <w:t xml:space="preserve">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К принимаемым в </w:t>
      </w:r>
      <w:r>
        <w:rPr>
          <w:sz w:val="28"/>
        </w:rPr>
        <w:t xml:space="preserve">Департаменте мерам по выявлению и предотвращению нарушений законодательства в сфере персональных данных относятся: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назначение ответственного за организацию обработки персональных данных в Департаменте;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назначение ответственного за защиту информации, не содержащей сведения, составляющие государственную тайну, содержащейся информационных системах в Департаменте;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обеспечение личной ответственности сотрудников, осуществляющих обработку, либо имеющих доступ к персональным данным;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издание документов, определяющих политику оператора в отношении обработки персона</w:t>
      </w:r>
      <w:r>
        <w:rPr>
          <w:sz w:val="28"/>
        </w:rPr>
        <w:t xml:space="preserve">льных данных, локальных актов по вопросам обработки персональных данных, а также локальных актов,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осуществление внутреннего контроля и (или) аудита соответствия обработки персональных данных требованиям к защите персональных данных, политике оператора в отношении обработки персональных данных, локальным актам оператора;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оценка вреда, который может быть причинен субъекта</w:t>
      </w:r>
      <w:r>
        <w:rPr>
          <w:sz w:val="28"/>
        </w:rPr>
        <w:t xml:space="preserve">м персональных данных в случае нарушения порядка обработки и защиты персональных данных, соотношение указанного вреда и принимаемых оператором мер, направленных на обеспечение выполнения обязанностей, предусмотренных законодательством Российской Федерации;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ознакомление сотрудников, непосредственно осуществляющих обработку персональных данных, с положениями действующего законодательства о персональны</w:t>
      </w:r>
      <w:r>
        <w:rPr>
          <w:sz w:val="28"/>
        </w:rPr>
        <w:t xml:space="preserve">х данных, в том числе с требованиями к защите персональных данных, документами, определяющими политику оператора в отношении обработки персональных данных, локальными актами по вопросам обработки персональных данных, и (или) обучение указанных сотрудников;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ор</w:t>
      </w:r>
      <w:r>
        <w:rPr>
          <w:sz w:val="28"/>
        </w:rPr>
        <w:t xml:space="preserve">ганизация режима обеспечения безопасности помещений, в которых размещены информационные системы персональных данных, препятствующего возможности неконтролируемого проникновения или пребывания в этих помещениях лиц, не имеющих права доступа в эти помещения;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утверждение оператором документов, определяющих перечни лиц, имеющих доступ к персональным данным, а также в помещения, в которых размещены информационные системы персональных данных и ведется обработка персональных данных;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определение угроз безопасности персональных данных при их обработке в информационных системах Департамента;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использов</w:t>
      </w:r>
      <w:r>
        <w:rPr>
          <w:sz w:val="28"/>
        </w:rPr>
        <w:t xml:space="preserve">ание средств защиты информации, прошедших процедуру оценки соответствия требованиям законодательства Российской Федерации в области обеспечения безопасности информации, в случае, когда применение таких средств необходимо для нейтрализации актуальных угроз;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осуществление оценки эффективности принимаемых мер по обеспечению безопасности персональных данных;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обеспечение учета и сохранности носителей персональных данных;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обнаружение фактов несанкционированного доступа к персональным данным и принятие мер по предупреждению и ликвидации последствий несанкционированного доступа к персональным данным;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восстановление персональных данных, модифицированных или уничтоженных вследствие несанкционированного доступа к ним;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установление правил доступа к персональным данным;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осуществление контроля за принимаемыми мерами по обеспечению безопасности персональных данных и уровня защищенности информационных систем персональных данных;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блокирование, изменение и уничтожение персональных данных в предусмотренных действующим законодательством в области персональных данных случаях;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оповещение субъектов персональных данных в предусмотренных действующим законодательством в области персональных данных случаях;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разъяснение прав субъектов персональных данных по вопросам обработки и обеспечения безопасности их персональных данных;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организация рассмотрения запросов субъектов персональных данных или их представителей и ответов на такие запросы;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оказание содействия правоохранительным органам в случаях нарушений законодательства в отношении обработки персональных данных;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обеспечение неограниченного доступа к документу, определяющему политику оператора в отношении обработки персональных данных, к сведениям о реализуемых требованиях к защите персональных данных;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обеспечение записи, систематизации, накопления, хранения, уточнения (обновления, изменения), извлечения персональных данных граждан Российской Федерации с использованием баз данных, находящихся на территории Российской Федерации.</w:t>
      </w:r>
      <w:r>
        <w:rPr>
          <w:sz w:val="28"/>
        </w:rPr>
      </w:r>
    </w:p>
    <w:p>
      <w:pPr>
        <w:pStyle w:val="705"/>
        <w:ind w:firstLine="709"/>
        <w:spacing w:line="240" w:lineRule="auto"/>
        <w:rPr>
          <w:sz w:val="28"/>
        </w:rPr>
      </w:pPr>
      <w:r>
        <w:rPr>
          <w:sz w:val="28"/>
        </w:rPr>
        <w:t xml:space="preserve">защита персональных данных от раскрытия, модификации и нав</w:t>
      </w:r>
      <w:r>
        <w:rPr>
          <w:sz w:val="28"/>
        </w:rPr>
        <w:t xml:space="preserve">язывания (ввода ложной информации) при ее передаче (подготовке к передаче) по каналам связи, имеющим выход за пределы контролируемой зоны, путем применения в соответствии с законодательством Российской Федерации средств криптографической защиты информации.</w:t>
      </w:r>
      <w:bookmarkStart w:id="0" w:name="_GoBack"/>
      <w:r/>
      <w:bookmarkEnd w:id="0"/>
      <w:r/>
      <w:r>
        <w:rPr>
          <w:sz w:val="28"/>
        </w:rPr>
      </w:r>
    </w:p>
    <w:p>
      <w:pPr>
        <w:pStyle w:val="705"/>
        <w:numPr>
          <w:ilvl w:val="0"/>
          <w:numId w:val="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5"/>
        <w:numPr>
          <w:ilvl w:val="0"/>
          <w:numId w:val="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5"/>
        <w:numPr>
          <w:ilvl w:val="0"/>
          <w:numId w:val="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5"/>
        <w:numPr>
          <w:ilvl w:val="0"/>
          <w:numId w:val="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5"/>
        <w:numPr>
          <w:ilvl w:val="0"/>
          <w:numId w:val="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5"/>
        <w:numPr>
          <w:ilvl w:val="0"/>
          <w:numId w:val="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5"/>
        <w:numPr>
          <w:ilvl w:val="0"/>
          <w:numId w:val="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5"/>
        <w:numPr>
          <w:ilvl w:val="0"/>
          <w:numId w:val="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5"/>
        <w:numPr>
          <w:ilvl w:val="0"/>
          <w:numId w:val="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40"/>
        <w:jc w:val="center"/>
        <w:spacing w:after="0" w:line="240" w:lineRule="auto"/>
        <w:outlineLvl w:val="0"/>
      </w:pPr>
      <w:r/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638" w:right="567" w:bottom="1440" w:left="143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ymbol">
    <w:panose1 w:val="05050102010706020507"/>
  </w:font>
  <w:font w:name="Wingdings">
    <w:panose1 w:val="0500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492333533"/>
      <w:docPartObj>
        <w:docPartGallery w:val="Page Numbers (Top of Page)"/>
        <w:docPartUnique w:val="true"/>
      </w:docPartObj>
      <w:rPr/>
    </w:sdtPr>
    <w:sdtContent>
      <w:p>
        <w:pPr>
          <w:pStyle w:val="69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17</w:t>
        </w:r>
        <w:r>
          <w:fldChar w:fldCharType="end"/>
        </w:r>
        <w:r/>
      </w:p>
    </w:sdtContent>
  </w:sdt>
  <w:p>
    <w:pPr>
      <w:pStyle w:val="692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styleLink w:val="706"/>
    <w:lvl w:ilvl="0">
      <w:start w:val="1"/>
      <w:numFmt w:val="bullet"/>
      <w:pStyle w:val="705"/>
      <w:isLgl w:val="false"/>
      <w:suff w:val="space"/>
      <w:lvlText w:val="–"/>
      <w:lvlJc w:val="left"/>
      <w:pPr>
        <w:ind w:left="0" w:firstLine="708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space"/>
      <w:lvlText w:val="–"/>
      <w:lvlJc w:val="left"/>
      <w:pPr>
        <w:ind w:left="0" w:firstLine="0"/>
      </w:pPr>
      <w:rPr>
        <w:rFonts w:hint="default" w:ascii="Times New Roman" w:hAnsi="Times New Roman" w:cs="Times New Roman"/>
        <w:color w:val="auto"/>
      </w:rPr>
    </w:lvl>
    <w:lvl w:ilvl="2">
      <w:start w:val="1"/>
      <w:numFmt w:val="bullet"/>
      <w:isLgl w:val="false"/>
      <w:suff w:val="tab"/>
      <w:lvlText w:val=""/>
      <w:lvlJc w:val="left"/>
      <w:pPr>
        <w:ind w:left="0" w:firstLine="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0" w:firstLine="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0" w:firstLine="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0" w:firstLine="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0" w:firstLine="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0" w:firstLine="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0" w:firstLine="0"/>
      </w:pPr>
      <w:rPr>
        <w:rFonts w:hint="default" w:ascii="Wingdings" w:hAnsi="Wingdings"/>
      </w:rPr>
    </w:lvl>
  </w:abstractNum>
  <w:abstractNum w:abstractNumId="1">
    <w:multiLevelType w:val="hybridMultilevel"/>
    <w:numStyleLink w:val="702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styleLink w:val="702"/>
    <w:lvl w:ilvl="0">
      <w:start w:val="1"/>
      <w:numFmt w:val="decimal"/>
      <w:pStyle w:val="703"/>
      <w:isLgl w:val="false"/>
      <w:suff w:val="space"/>
      <w:lvlText w:val="%1."/>
      <w:lvlJc w:val="left"/>
      <w:pPr>
        <w:ind w:left="540" w:firstLine="0"/>
      </w:pPr>
      <w:rPr>
        <w:rFonts w:hint="default"/>
      </w:rPr>
    </w:lvl>
    <w:lvl w:ilvl="1">
      <w:start w:val="1"/>
      <w:numFmt w:val="decimal"/>
      <w:pStyle w:val="700"/>
      <w:isLgl/>
      <w:suff w:val="space"/>
      <w:lvlText w:val="%1.%2."/>
      <w:lvlJc w:val="left"/>
      <w:pPr>
        <w:ind w:left="0" w:firstLine="709"/>
      </w:pPr>
      <w:rPr>
        <w:rFonts w:hint="default"/>
        <w:u w:val="none"/>
      </w:rPr>
    </w:lvl>
    <w:lvl w:ilvl="2">
      <w:start w:val="1"/>
      <w:numFmt w:val="decimal"/>
      <w:pStyle w:val="701"/>
      <w:isLgl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pStyle w:val="699"/>
      <w:isLgl w:val="false"/>
      <w:suff w:val="tab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098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1">
      <w:lvl w:ilvl="1">
        <w:start w:val="1"/>
        <w:numFmt w:val="decimal"/>
        <w:pStyle w:val="700"/>
        <w:isLgl/>
        <w:suff w:val="space"/>
        <w:lvlText w:val="%1.%2."/>
        <w:lvlJc w:val="left"/>
        <w:pPr>
          <w:ind w:left="11" w:firstLine="709"/>
        </w:pP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spacing w:val="0"/>
          <w:position w:val="0"/>
          <w:u w:val="none"/>
          <w:vertAlign w:val="baseline"/>
          <w14:textOutline w14:w="0" w14:cap="rnd" w14:cmpd="sng" w14:algn="ctr">
            <w14:noFill/>
            <w14:prstDash w14:val="solid"/>
            <w14:bevel/>
          </w14:textOutline>
          <w14:ligatures w14:val="none"/>
        </w:rPr>
      </w:lvl>
    </w:lvlOverride>
  </w:num>
  <w:num w:numId="4">
    <w:abstractNumId w:val="1"/>
    <w:lvlOverride w:ilvl="1">
      <w:lvl w:ilvl="1">
        <w:start w:val="1"/>
        <w:numFmt w:val="decimal"/>
        <w:pStyle w:val="700"/>
        <w:isLgl/>
        <w:suff w:val="space"/>
        <w:lvlText w:val="%1.%2."/>
        <w:lvlJc w:val="left"/>
        <w:pPr>
          <w:ind w:left="11" w:firstLine="709"/>
        </w:pP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spacing w:val="0"/>
          <w:position w:val="0"/>
          <w:u w:val="none"/>
          <w:vertAlign w:val="baseline"/>
          <w14:textOutline w14:w="0" w14:cap="rnd" w14:cmpd="sng" w14:algn="ctr">
            <w14:noFill/>
            <w14:prstDash w14:val="solid"/>
            <w14:bevel/>
          </w14:textOutline>
          <w14:ligatures w14:val="none"/>
        </w:rPr>
      </w:lvl>
    </w:lvlOverride>
  </w:num>
  <w:num w:numId="5">
    <w:abstractNumId w:val="1"/>
    <w:lvlOverride w:ilvl="1">
      <w:lvl w:ilvl="1">
        <w:start w:val="1"/>
        <w:numFmt w:val="decimal"/>
        <w:pStyle w:val="700"/>
        <w:isLgl/>
        <w:suff w:val="space"/>
        <w:lvlText w:val="%1.%2."/>
        <w:lvlJc w:val="left"/>
        <w:pPr>
          <w:ind w:left="11" w:firstLine="709"/>
        </w:pP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spacing w:val="0"/>
          <w:position w:val="0"/>
          <w:u w:val="none"/>
          <w:vertAlign w:val="baseline"/>
          <w14:textOutline w14:w="0" w14:cap="rnd" w14:cmpd="sng" w14:algn="ctr">
            <w14:noFill/>
            <w14:prstDash w14:val="solid"/>
            <w14:bevel/>
          </w14:textOutline>
          <w14:ligatures w14:val="none"/>
        </w:rPr>
      </w:lvl>
    </w:lvlOverride>
  </w:num>
  <w:num w:numId="6">
    <w:abstractNumId w:val="0"/>
  </w:num>
  <w:num w:numId="7">
    <w:abstractNumId w:val="1"/>
    <w:lvlOverride w:ilvl="1">
      <w:lvl w:ilvl="1">
        <w:start w:val="1"/>
        <w:numFmt w:val="decimal"/>
        <w:pStyle w:val="700"/>
        <w:isLgl/>
        <w:suff w:val="space"/>
        <w:lvlText w:val="%1.%2."/>
        <w:lvlJc w:val="left"/>
        <w:pPr>
          <w:ind w:left="11" w:firstLine="709"/>
        </w:pP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spacing w:val="0"/>
          <w:position w:val="0"/>
          <w:u w:val="none"/>
          <w:vertAlign w:val="baseline"/>
          <w14:textOutline w14:w="0" w14:cap="rnd" w14:cmpd="sng" w14:algn="ctr">
            <w14:noFill/>
            <w14:prstDash w14:val="solid"/>
            <w14:bevel/>
          </w14:textOutline>
          <w14:ligatures w14:val="none"/>
        </w:rPr>
      </w:lvl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8"/>
    <w:next w:val="68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9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8"/>
    <w:next w:val="68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8"/>
    <w:next w:val="68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8"/>
    <w:next w:val="68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8"/>
    <w:next w:val="68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8"/>
    <w:next w:val="68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8"/>
    <w:next w:val="68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8"/>
    <w:next w:val="68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8"/>
    <w:next w:val="68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8"/>
    <w:next w:val="68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9"/>
    <w:link w:val="34"/>
    <w:uiPriority w:val="10"/>
    <w:rPr>
      <w:sz w:val="48"/>
      <w:szCs w:val="48"/>
    </w:rPr>
  </w:style>
  <w:style w:type="paragraph" w:styleId="36">
    <w:name w:val="Subtitle"/>
    <w:basedOn w:val="688"/>
    <w:next w:val="68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9"/>
    <w:link w:val="36"/>
    <w:uiPriority w:val="11"/>
    <w:rPr>
      <w:sz w:val="24"/>
      <w:szCs w:val="24"/>
    </w:rPr>
  </w:style>
  <w:style w:type="paragraph" w:styleId="38">
    <w:name w:val="Quote"/>
    <w:basedOn w:val="688"/>
    <w:next w:val="68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8"/>
    <w:next w:val="68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9"/>
    <w:link w:val="692"/>
    <w:uiPriority w:val="99"/>
  </w:style>
  <w:style w:type="character" w:styleId="45">
    <w:name w:val="Footer Char"/>
    <w:basedOn w:val="689"/>
    <w:link w:val="697"/>
    <w:uiPriority w:val="99"/>
  </w:style>
  <w:style w:type="paragraph" w:styleId="46">
    <w:name w:val="Caption"/>
    <w:basedOn w:val="688"/>
    <w:next w:val="6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7"/>
    <w:uiPriority w:val="99"/>
  </w:style>
  <w:style w:type="table" w:styleId="48">
    <w:name w:val="Table Grid"/>
    <w:basedOn w:val="69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f8f8f8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f8f8f8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0f0f0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0f0f0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eae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eae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e5e5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e5e5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edede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edede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bdbdb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bdbdb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f8f8f8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f8f8f8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0f0f0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0f0f0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eae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eaea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e5e5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e5e5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edede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edede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bdbdb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bdbdb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f8f8f8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f8f8f8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e0e0e0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0f0f0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0f0f0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1d1d1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eae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eae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69696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e5e5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e5e5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b2b2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edede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edede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f5f5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bdbdb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bdbdb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d4d4d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f8f8f8" w:themeFill="accent1" w:themeFillTint="34"/>
    </w:tblPr>
    <w:tblStylePr w:type="band1Horz">
      <w:tcPr>
        <w:shd w:val="clear" w:color="ffffff" w:themeColor="accent1" w:themeTint="75" w:fill="efefef" w:themeFill="accent1" w:themeFillTint="75"/>
      </w:tcPr>
    </w:tblStylePr>
    <w:tblStylePr w:type="band1Vert">
      <w:tcPr>
        <w:shd w:val="clear" w:color="ffffff" w:themeColor="accent1" w:themeTint="75" w:fill="efefe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ddddd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ddddd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ddddd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ddddd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0f0f0" w:themeFill="accent2" w:themeFillTint="32"/>
    </w:tblPr>
    <w:tblStylePr w:type="band1Horz">
      <w:tcPr>
        <w:shd w:val="clear" w:color="ffffff" w:themeColor="accent2" w:themeTint="75" w:fill="dcdcdc" w:themeFill="accent2" w:themeFillTint="75"/>
      </w:tcPr>
    </w:tblStylePr>
    <w:tblStylePr w:type="band1Vert">
      <w:tcPr>
        <w:shd w:val="clear" w:color="ffffff" w:themeColor="accent2" w:themeTint="75" w:fill="dcdcd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b2b2b2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b2b2b2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b2b2b2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b2b2b2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eaea" w:themeFill="accent3" w:themeFillTint="34"/>
    </w:tblPr>
    <w:tblStylePr w:type="band1Horz">
      <w:tcPr>
        <w:shd w:val="clear" w:color="ffffff" w:themeColor="accent3" w:themeTint="75" w:fill="cfcfcf" w:themeFill="accent3" w:themeFillTint="75"/>
      </w:tcPr>
    </w:tblStylePr>
    <w:tblStylePr w:type="band1Vert">
      <w:tcPr>
        <w:shd w:val="clear" w:color="ffffff" w:themeColor="accent3" w:themeTint="75" w:fill="cfcfc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69696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69696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69696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69696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e5e5" w:themeFill="accent4" w:themeFillTint="34"/>
    </w:tblPr>
    <w:tblStylePr w:type="band1Horz">
      <w:tcPr>
        <w:shd w:val="clear" w:color="ffffff" w:themeColor="accent4" w:themeTint="75" w:fill="c5c5c5" w:themeFill="accent4" w:themeFillTint="75"/>
      </w:tcPr>
    </w:tblStylePr>
    <w:tblStylePr w:type="band1Vert">
      <w:tcPr>
        <w:shd w:val="clear" w:color="ffffff" w:themeColor="accent4" w:themeTint="75" w:fill="c5c5c5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808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808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808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808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dede" w:themeFill="accent5" w:themeFillTint="34"/>
    </w:tblPr>
    <w:tblStylePr w:type="band1Horz">
      <w:tcPr>
        <w:shd w:val="clear" w:color="ffffff" w:themeColor="accent5" w:themeTint="75" w:fill="b6b6b6" w:themeFill="accent5" w:themeFillTint="75"/>
      </w:tcPr>
    </w:tblStylePr>
    <w:tblStylePr w:type="band1Vert">
      <w:tcPr>
        <w:shd w:val="clear" w:color="ffffff" w:themeColor="accent5" w:themeTint="75" w:fill="b6b6b6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f5f5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f5f5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f5f5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f5f5f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dbdbdb" w:themeFill="accent6" w:themeFillTint="34"/>
    </w:tblPr>
    <w:tblStylePr w:type="band1Horz">
      <w:tcPr>
        <w:shd w:val="clear" w:color="ffffff" w:themeColor="accent6" w:themeTint="75" w:fill="adadad" w:themeFill="accent6" w:themeFillTint="75"/>
      </w:tcPr>
    </w:tblStylePr>
    <w:tblStylePr w:type="band1Vert">
      <w:tcPr>
        <w:shd w:val="clear" w:color="ffffff" w:themeColor="accent6" w:themeTint="75" w:fill="adadad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4d4d4d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d4d4d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4d4d4d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4d4d4d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f8f8f8" w:themeFill="accent1" w:themeFillTint="34"/>
      </w:tcPr>
    </w:tblStylePr>
    <w:tblStylePr w:type="band1Vert">
      <w:tcPr>
        <w:shd w:val="clear" w:color="ffffff" w:themeColor="accent1" w:themeTint="34" w:fill="f8f8f8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8b8b8b" w:themeColor="accent1" w:themeTint="80" w:themeShade="95"/>
      </w:rPr>
    </w:tblStylePr>
    <w:tblStylePr w:type="firstRow">
      <w:rPr>
        <w:b/>
        <w:color w:val="8b8b8b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8b8b8b" w:themeColor="accent1" w:themeTint="80" w:themeShade="95"/>
      </w:rPr>
    </w:tblStylePr>
    <w:tblStylePr w:type="lastRow">
      <w:rPr>
        <w:b/>
        <w:color w:val="8b8b8b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0f0f0" w:themeFill="accent2" w:themeFillTint="32"/>
      </w:tcPr>
    </w:tblStylePr>
    <w:tblStylePr w:type="band1Vert">
      <w:tcPr>
        <w:shd w:val="clear" w:color="ffffff" w:themeColor="accent2" w:themeTint="32" w:fill="f0f0f0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7a7a7a" w:themeColor="accent2" w:themeTint="97" w:themeShade="95"/>
      </w:rPr>
    </w:tblStylePr>
    <w:tblStylePr w:type="firstRow">
      <w:rPr>
        <w:b/>
        <w:color w:val="7a7a7a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7a7a7a" w:themeColor="accent2" w:themeTint="97" w:themeShade="95"/>
      </w:rPr>
    </w:tblStylePr>
    <w:tblStylePr w:type="lastRow">
      <w:rPr>
        <w:b/>
        <w:color w:val="7a7a7a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eaea" w:themeFill="accent3" w:themeFillTint="34"/>
      </w:tcPr>
    </w:tblStylePr>
    <w:tblStylePr w:type="band1Vert">
      <w:tcPr>
        <w:shd w:val="clear" w:color="ffffff" w:themeColor="accent3" w:themeTint="34" w:fill="eaeaea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85858" w:themeColor="accent3" w:themeTint="FE" w:themeShade="95"/>
      </w:rPr>
    </w:tblStylePr>
    <w:tblStylePr w:type="firstRow">
      <w:rPr>
        <w:b/>
        <w:color w:val="585858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85858" w:themeColor="accent3" w:themeTint="FE" w:themeShade="95"/>
      </w:rPr>
    </w:tblStylePr>
    <w:tblStylePr w:type="lastRow">
      <w:rPr>
        <w:b/>
        <w:color w:val="585858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e5e5" w:themeFill="accent4" w:themeFillTint="34"/>
      </w:tcPr>
    </w:tblStylePr>
    <w:tblStylePr w:type="band1Vert">
      <w:tcPr>
        <w:shd w:val="clear" w:color="ffffff" w:themeColor="accent4" w:themeTint="34" w:fill="e5e5e5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86868" w:themeColor="accent4" w:themeTint="9A" w:themeShade="95"/>
      </w:rPr>
    </w:tblStylePr>
    <w:tblStylePr w:type="firstRow">
      <w:rPr>
        <w:b/>
        <w:color w:val="686868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86868" w:themeColor="accent4" w:themeTint="9A" w:themeShade="95"/>
      </w:rPr>
    </w:tblStylePr>
    <w:tblStylePr w:type="lastRow">
      <w:rPr>
        <w:b/>
        <w:color w:val="686868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edede" w:themeFill="accent5" w:themeFillTint="34"/>
      </w:tcPr>
    </w:tblStylePr>
    <w:tblStylePr w:type="band1Vert">
      <w:tcPr>
        <w:shd w:val="clear" w:color="ffffff" w:themeColor="accent5" w:themeTint="34" w:fill="dedede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383838" w:themeColor="accent5" w:themeShade="95"/>
      </w:rPr>
    </w:tblStylePr>
    <w:tblStylePr w:type="firstRow">
      <w:rPr>
        <w:b/>
        <w:color w:val="383838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383838" w:themeColor="accent5" w:themeShade="95"/>
      </w:rPr>
    </w:tblStylePr>
    <w:tblStylePr w:type="lastRow">
      <w:rPr>
        <w:b/>
        <w:color w:val="383838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dbdbdb" w:themeFill="accent6" w:themeFillTint="34"/>
      </w:tcPr>
    </w:tblStylePr>
    <w:tblStylePr w:type="band1Vert">
      <w:tcPr>
        <w:shd w:val="clear" w:color="ffffff" w:themeColor="accent6" w:themeTint="34" w:fill="dbdbdb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383838" w:themeColor="accent5" w:themeShade="95"/>
      </w:rPr>
    </w:tblStylePr>
    <w:tblStylePr w:type="firstRow">
      <w:rPr>
        <w:b/>
        <w:color w:val="383838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383838" w:themeColor="accent5" w:themeShade="95"/>
      </w:rPr>
    </w:tblStylePr>
    <w:tblStylePr w:type="lastRow">
      <w:rPr>
        <w:b/>
        <w:color w:val="383838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8b8b8b" w:themeColor="accent1" w:themeTint="80" w:themeShade="95"/>
        <w:sz w:val="22"/>
      </w:rPr>
      <w:tcPr>
        <w:shd w:val="clear" w:color="ffffff" w:themeColor="accent1" w:themeTint="34" w:fill="f8f8f8" w:themeFill="accent1" w:themeFillTint="34"/>
      </w:tcPr>
    </w:tblStylePr>
    <w:tblStylePr w:type="band1Vert">
      <w:tcPr>
        <w:shd w:val="clear" w:color="ffffff" w:themeColor="accent1" w:themeTint="34" w:fill="f8f8f8" w:themeFill="accent1" w:themeFillTint="34"/>
      </w:tcPr>
    </w:tblStylePr>
    <w:tblStylePr w:type="band2Horz">
      <w:rPr>
        <w:rFonts w:ascii="Arial" w:hAnsi="Arial"/>
        <w:color w:val="8b8b8b" w:themeColor="accent1" w:themeTint="80" w:themeShade="95"/>
        <w:sz w:val="22"/>
      </w:rPr>
    </w:tblStylePr>
    <w:tblStylePr w:type="firstCol">
      <w:rPr>
        <w:rFonts w:ascii="Arial" w:hAnsi="Arial"/>
        <w:i/>
        <w:color w:val="8b8b8b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8b8b8b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8b8b8b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8b8b8b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7a7a7a" w:themeColor="accent2" w:themeTint="97" w:themeShade="95"/>
        <w:sz w:val="22"/>
      </w:rPr>
      <w:tcPr>
        <w:shd w:val="clear" w:color="ffffff" w:themeColor="accent2" w:themeTint="32" w:fill="f0f0f0" w:themeFill="accent2" w:themeFillTint="32"/>
      </w:tcPr>
    </w:tblStylePr>
    <w:tblStylePr w:type="band1Vert">
      <w:tcPr>
        <w:shd w:val="clear" w:color="ffffff" w:themeColor="accent2" w:themeTint="32" w:fill="f0f0f0" w:themeFill="accent2" w:themeFillTint="32"/>
      </w:tcPr>
    </w:tblStylePr>
    <w:tblStylePr w:type="band2Horz">
      <w:rPr>
        <w:rFonts w:ascii="Arial" w:hAnsi="Arial"/>
        <w:color w:val="7a7a7a" w:themeColor="accent2" w:themeTint="97" w:themeShade="95"/>
        <w:sz w:val="22"/>
      </w:rPr>
    </w:tblStylePr>
    <w:tblStylePr w:type="firstCol">
      <w:rPr>
        <w:rFonts w:ascii="Arial" w:hAnsi="Arial"/>
        <w:i/>
        <w:color w:val="7a7a7a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7a7a7a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7a7a7a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7a7a7a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85858" w:themeColor="accent3" w:themeTint="FE" w:themeShade="95"/>
        <w:sz w:val="22"/>
      </w:rPr>
      <w:tcPr>
        <w:shd w:val="clear" w:color="ffffff" w:themeColor="accent3" w:themeTint="34" w:fill="eaeaea" w:themeFill="accent3" w:themeFillTint="34"/>
      </w:tcPr>
    </w:tblStylePr>
    <w:tblStylePr w:type="band1Vert">
      <w:tcPr>
        <w:shd w:val="clear" w:color="ffffff" w:themeColor="accent3" w:themeTint="34" w:fill="eaeaea" w:themeFill="accent3" w:themeFillTint="34"/>
      </w:tcPr>
    </w:tblStylePr>
    <w:tblStylePr w:type="band2Horz">
      <w:rPr>
        <w:rFonts w:ascii="Arial" w:hAnsi="Arial"/>
        <w:color w:val="585858" w:themeColor="accent3" w:themeTint="FE" w:themeShade="95"/>
        <w:sz w:val="22"/>
      </w:rPr>
    </w:tblStylePr>
    <w:tblStylePr w:type="firstCol">
      <w:rPr>
        <w:rFonts w:ascii="Arial" w:hAnsi="Arial"/>
        <w:i/>
        <w:color w:val="585858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85858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85858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85858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86868" w:themeColor="accent4" w:themeTint="9A" w:themeShade="95"/>
        <w:sz w:val="22"/>
      </w:rPr>
      <w:tcPr>
        <w:shd w:val="clear" w:color="ffffff" w:themeColor="accent4" w:themeTint="34" w:fill="e5e5e5" w:themeFill="accent4" w:themeFillTint="34"/>
      </w:tcPr>
    </w:tblStylePr>
    <w:tblStylePr w:type="band1Vert">
      <w:tcPr>
        <w:shd w:val="clear" w:color="ffffff" w:themeColor="accent4" w:themeTint="34" w:fill="e5e5e5" w:themeFill="accent4" w:themeFillTint="34"/>
      </w:tcPr>
    </w:tblStylePr>
    <w:tblStylePr w:type="band2Horz">
      <w:rPr>
        <w:rFonts w:ascii="Arial" w:hAnsi="Arial"/>
        <w:color w:val="686868" w:themeColor="accent4" w:themeTint="9A" w:themeShade="95"/>
        <w:sz w:val="22"/>
      </w:rPr>
    </w:tblStylePr>
    <w:tblStylePr w:type="firstCol">
      <w:rPr>
        <w:rFonts w:ascii="Arial" w:hAnsi="Arial"/>
        <w:i/>
        <w:color w:val="686868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86868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86868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8686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383838" w:themeColor="accent5" w:themeShade="95"/>
        <w:sz w:val="22"/>
      </w:rPr>
      <w:tcPr>
        <w:shd w:val="clear" w:color="ffffff" w:themeColor="accent5" w:themeTint="34" w:fill="dedede" w:themeFill="accent5" w:themeFillTint="34"/>
      </w:tcPr>
    </w:tblStylePr>
    <w:tblStylePr w:type="band1Vert">
      <w:tcPr>
        <w:shd w:val="clear" w:color="ffffff" w:themeColor="accent5" w:themeTint="34" w:fill="dedede" w:themeFill="accent5" w:themeFillTint="34"/>
      </w:tcPr>
    </w:tblStylePr>
    <w:tblStylePr w:type="band2Horz">
      <w:rPr>
        <w:rFonts w:ascii="Arial" w:hAnsi="Arial"/>
        <w:color w:val="383838" w:themeColor="accent5" w:themeShade="95"/>
        <w:sz w:val="22"/>
      </w:rPr>
    </w:tblStylePr>
    <w:tblStylePr w:type="firstCol">
      <w:rPr>
        <w:rFonts w:ascii="Arial" w:hAnsi="Arial"/>
        <w:i/>
        <w:color w:val="383838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383838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383838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83838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2d2d2d" w:themeColor="accent6" w:themeShade="95"/>
        <w:sz w:val="22"/>
      </w:rPr>
      <w:tcPr>
        <w:shd w:val="clear" w:color="ffffff" w:themeColor="accent6" w:themeTint="34" w:fill="dbdbdb" w:themeFill="accent6" w:themeFillTint="34"/>
      </w:tcPr>
    </w:tblStylePr>
    <w:tblStylePr w:type="band1Vert">
      <w:tcPr>
        <w:shd w:val="clear" w:color="ffffff" w:themeColor="accent6" w:themeTint="34" w:fill="dbdbdb" w:themeFill="accent6" w:themeFillTint="34"/>
      </w:tcPr>
    </w:tblStylePr>
    <w:tblStylePr w:type="band2Horz">
      <w:rPr>
        <w:rFonts w:ascii="Arial" w:hAnsi="Arial"/>
        <w:color w:val="2d2d2d" w:themeColor="accent6" w:themeShade="95"/>
        <w:sz w:val="22"/>
      </w:rPr>
    </w:tblStylePr>
    <w:tblStylePr w:type="firstCol">
      <w:rPr>
        <w:rFonts w:ascii="Arial" w:hAnsi="Arial"/>
        <w:i/>
        <w:color w:val="2d2d2d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2d2d2d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2d2d2d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d2d2d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f6f6f6" w:themeFill="accent1" w:themeFillTint="40"/>
      </w:tcPr>
    </w:tblStylePr>
    <w:tblStylePr w:type="band1Vert">
      <w:tcPr>
        <w:shd w:val="clear" w:color="ffffff" w:themeColor="accent1" w:themeTint="40" w:fill="f6f6f6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cecec" w:themeFill="accent2" w:themeFillTint="40"/>
      </w:tcPr>
    </w:tblStylePr>
    <w:tblStylePr w:type="band1Vert">
      <w:tcPr>
        <w:shd w:val="clear" w:color="ffffff" w:themeColor="accent2" w:themeTint="40" w:fill="ececec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5e5e5" w:themeFill="accent3" w:themeFillTint="40"/>
      </w:tcPr>
    </w:tblStylePr>
    <w:tblStylePr w:type="band1Vert">
      <w:tcPr>
        <w:shd w:val="clear" w:color="ffffff" w:themeColor="accent3" w:themeTint="40" w:fill="e5e5e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fdf" w:themeFill="accent4" w:themeFillTint="40"/>
      </w:tcPr>
    </w:tblStylePr>
    <w:tblStylePr w:type="band1Vert">
      <w:tcPr>
        <w:shd w:val="clear" w:color="ffffff" w:themeColor="accent4" w:themeTint="40" w:fill="dfdfd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7d7d7" w:themeFill="accent5" w:themeFillTint="40"/>
      </w:tcPr>
    </w:tblStylePr>
    <w:tblStylePr w:type="band1Vert">
      <w:tcPr>
        <w:shd w:val="clear" w:color="ffffff" w:themeColor="accent5" w:themeTint="40" w:fill="d7d7d7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2d2d2" w:themeFill="accent6" w:themeFillTint="40"/>
      </w:tcPr>
    </w:tblStylePr>
    <w:tblStylePr w:type="band1Vert">
      <w:tcPr>
        <w:shd w:val="clear" w:color="ffffff" w:themeColor="accent6" w:themeTint="40" w:fill="d2d2d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f6f6f6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f6f6f6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cecec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cecec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5e5e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5e5e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fd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fd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7d7d7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7d7d7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2d2d2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2d2d2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ddddd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1d1d1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0c0c0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b2b2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e9e9e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959595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f6f6f6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f6f6f6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ddddd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cecec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cecec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b2b2b2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5e5e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5e5e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69696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fd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fd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808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7d7d7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7d7d7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f5f5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2d2d2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2d2d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d4d4d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dddddd" w:themeFill="accent1"/>
    </w:tblPr>
    <w:tblStylePr w:type="band1Horz">
      <w:tcPr>
        <w:shd w:val="clear" w:color="ffffff" w:themeColor="accent1" w:fill="ddddd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ddddd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ddddd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ddddd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1d1d1" w:themeFill="accent2" w:themeFillTint="97"/>
    </w:tblPr>
    <w:tblStylePr w:type="band1Horz">
      <w:tcPr>
        <w:shd w:val="clear" w:color="ffffff" w:themeColor="accent2" w:themeTint="97" w:fill="d1d1d1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1d1d1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1d1d1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1d1d1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0c0c0" w:themeFill="accent3" w:themeFillTint="98"/>
    </w:tblPr>
    <w:tblStylePr w:type="band1Horz">
      <w:tcPr>
        <w:shd w:val="clear" w:color="ffffff" w:themeColor="accent3" w:themeTint="98" w:fill="c0c0c0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0c0c0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0c0c0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0c0c0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b2b2" w:themeFill="accent4" w:themeFillTint="9A"/>
    </w:tblPr>
    <w:tblStylePr w:type="band1Horz">
      <w:tcPr>
        <w:shd w:val="clear" w:color="ffffff" w:themeColor="accent4" w:themeTint="9A" w:fill="b2b2b2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b2b2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b2b2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b2b2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e9e9e" w:themeFill="accent5" w:themeFillTint="9A"/>
    </w:tblPr>
    <w:tblStylePr w:type="band1Horz">
      <w:tcPr>
        <w:shd w:val="clear" w:color="ffffff" w:themeColor="accent5" w:themeTint="9A" w:fill="9e9e9e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e9e9e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e9e9e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e9e9e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959595" w:themeFill="accent6" w:themeFillTint="98"/>
    </w:tblPr>
    <w:tblStylePr w:type="band1Horz">
      <w:tcPr>
        <w:shd w:val="clear" w:color="ffffff" w:themeColor="accent6" w:themeTint="98" w:fill="959595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959595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959595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959595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f6f6f6" w:themeFill="accent1" w:themeFillTint="40"/>
      </w:tcPr>
    </w:tblStylePr>
    <w:tblStylePr w:type="band1Vert">
      <w:tcPr>
        <w:shd w:val="clear" w:color="ffffff" w:themeColor="accent1" w:themeTint="40" w:fill="f6f6f6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818181" w:themeColor="accent1" w:themeShade="95"/>
      </w:rPr>
    </w:tblStylePr>
    <w:tblStylePr w:type="firstRow">
      <w:rPr>
        <w:b/>
        <w:color w:val="81818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818181" w:themeColor="accent1" w:themeShade="95"/>
      </w:rPr>
    </w:tblStylePr>
    <w:tblStylePr w:type="lastRow">
      <w:rPr>
        <w:b/>
        <w:color w:val="81818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cecec" w:themeFill="accent2" w:themeFillTint="40"/>
      </w:tcPr>
    </w:tblStylePr>
    <w:tblStylePr w:type="band1Vert">
      <w:tcPr>
        <w:shd w:val="clear" w:color="ffffff" w:themeColor="accent2" w:themeTint="40" w:fill="ececec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7a7a7a" w:themeColor="accent2" w:themeTint="97" w:themeShade="95"/>
      </w:rPr>
    </w:tblStylePr>
    <w:tblStylePr w:type="firstRow">
      <w:rPr>
        <w:b/>
        <w:color w:val="7a7a7a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7a7a7a" w:themeColor="accent2" w:themeTint="97" w:themeShade="95"/>
      </w:rPr>
    </w:tblStylePr>
    <w:tblStylePr w:type="lastRow">
      <w:rPr>
        <w:b/>
        <w:color w:val="7a7a7a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5e5e5" w:themeFill="accent3" w:themeFillTint="40"/>
      </w:tcPr>
    </w:tblStylePr>
    <w:tblStylePr w:type="band1Vert">
      <w:tcPr>
        <w:shd w:val="clear" w:color="ffffff" w:themeColor="accent3" w:themeTint="40" w:fill="e5e5e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07070" w:themeColor="accent3" w:themeTint="98" w:themeShade="95"/>
      </w:rPr>
    </w:tblStylePr>
    <w:tblStylePr w:type="firstRow">
      <w:rPr>
        <w:b/>
        <w:color w:val="707070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07070" w:themeColor="accent3" w:themeTint="98" w:themeShade="95"/>
      </w:rPr>
    </w:tblStylePr>
    <w:tblStylePr w:type="lastRow">
      <w:rPr>
        <w:b/>
        <w:color w:val="707070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fdf" w:themeFill="accent4" w:themeFillTint="40"/>
      </w:tcPr>
    </w:tblStylePr>
    <w:tblStylePr w:type="band1Vert">
      <w:tcPr>
        <w:shd w:val="clear" w:color="ffffff" w:themeColor="accent4" w:themeTint="40" w:fill="dfdfd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86868" w:themeColor="accent4" w:themeTint="9A" w:themeShade="95"/>
      </w:rPr>
    </w:tblStylePr>
    <w:tblStylePr w:type="firstRow">
      <w:rPr>
        <w:b/>
        <w:color w:val="686868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86868" w:themeColor="accent4" w:themeTint="9A" w:themeShade="95"/>
      </w:rPr>
    </w:tblStylePr>
    <w:tblStylePr w:type="lastRow">
      <w:rPr>
        <w:b/>
        <w:color w:val="686868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7d7d7" w:themeFill="accent5" w:themeFillTint="40"/>
      </w:tcPr>
    </w:tblStylePr>
    <w:tblStylePr w:type="band1Vert">
      <w:tcPr>
        <w:shd w:val="clear" w:color="ffffff" w:themeColor="accent5" w:themeTint="40" w:fill="d7d7d7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5c5c5c" w:themeColor="accent5" w:themeTint="9A" w:themeShade="95"/>
      </w:rPr>
    </w:tblStylePr>
    <w:tblStylePr w:type="firstRow">
      <w:rPr>
        <w:b/>
        <w:color w:val="5c5c5c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5c5c5c" w:themeColor="accent5" w:themeTint="9A" w:themeShade="95"/>
      </w:rPr>
    </w:tblStylePr>
    <w:tblStylePr w:type="lastRow">
      <w:rPr>
        <w:b/>
        <w:color w:val="5c5c5c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2d2d2" w:themeFill="accent6" w:themeFillTint="40"/>
      </w:tcPr>
    </w:tblStylePr>
    <w:tblStylePr w:type="band1Vert">
      <w:tcPr>
        <w:shd w:val="clear" w:color="ffffff" w:themeColor="accent6" w:themeTint="40" w:fill="d2d2d2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75757" w:themeColor="accent6" w:themeTint="98" w:themeShade="95"/>
      </w:rPr>
    </w:tblStylePr>
    <w:tblStylePr w:type="firstRow">
      <w:rPr>
        <w:b/>
        <w:color w:val="575757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75757" w:themeColor="accent6" w:themeTint="98" w:themeShade="95"/>
      </w:rPr>
    </w:tblStylePr>
    <w:tblStylePr w:type="lastRow">
      <w:rPr>
        <w:b/>
        <w:color w:val="575757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818181" w:themeColor="accent1" w:themeShade="95"/>
        <w:sz w:val="22"/>
      </w:rPr>
      <w:tcPr>
        <w:shd w:val="clear" w:color="ffffff" w:themeColor="accent1" w:themeTint="40" w:fill="f6f6f6" w:themeFill="accent1" w:themeFillTint="40"/>
      </w:tcPr>
    </w:tblStylePr>
    <w:tblStylePr w:type="band1Vert">
      <w:tcPr>
        <w:shd w:val="clear" w:color="ffffff" w:themeColor="accent1" w:themeTint="40" w:fill="f6f6f6" w:themeFill="accent1" w:themeFillTint="40"/>
      </w:tcPr>
    </w:tblStylePr>
    <w:tblStylePr w:type="band2Horz">
      <w:rPr>
        <w:rFonts w:ascii="Arial" w:hAnsi="Arial"/>
        <w:color w:val="818181" w:themeColor="accent1" w:themeShade="95"/>
        <w:sz w:val="22"/>
      </w:rPr>
    </w:tblStylePr>
    <w:tblStylePr w:type="firstCol">
      <w:rPr>
        <w:rFonts w:ascii="Arial" w:hAnsi="Arial"/>
        <w:i/>
        <w:color w:val="81818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81818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81818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81818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818181" w:themeColor="accent1" w:themeShade="95"/>
        <w:sz w:val="22"/>
      </w:rPr>
    </w:tblStylePr>
  </w:style>
  <w:style w:type="table" w:styleId="148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7a7a7a" w:themeColor="accent2" w:themeTint="97" w:themeShade="95"/>
        <w:sz w:val="22"/>
      </w:rPr>
      <w:tcPr>
        <w:shd w:val="clear" w:color="ffffff" w:themeColor="accent2" w:themeTint="40" w:fill="ececec" w:themeFill="accent2" w:themeFillTint="40"/>
      </w:tcPr>
    </w:tblStylePr>
    <w:tblStylePr w:type="band1Vert">
      <w:tcPr>
        <w:shd w:val="clear" w:color="ffffff" w:themeColor="accent2" w:themeTint="40" w:fill="ececec" w:themeFill="accent2" w:themeFillTint="40"/>
      </w:tcPr>
    </w:tblStylePr>
    <w:tblStylePr w:type="band2Horz">
      <w:rPr>
        <w:rFonts w:ascii="Arial" w:hAnsi="Arial"/>
        <w:color w:val="7a7a7a" w:themeColor="accent2" w:themeTint="97" w:themeShade="95"/>
        <w:sz w:val="22"/>
      </w:rPr>
    </w:tblStylePr>
    <w:tblStylePr w:type="firstCol">
      <w:rPr>
        <w:rFonts w:ascii="Arial" w:hAnsi="Arial"/>
        <w:i/>
        <w:color w:val="7a7a7a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7a7a7a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7a7a7a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a7a7a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a7a7a" w:themeColor="accent2" w:themeTint="97" w:themeShade="95"/>
        <w:sz w:val="22"/>
      </w:rPr>
    </w:tblStylePr>
  </w:style>
  <w:style w:type="table" w:styleId="149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07070" w:themeColor="accent3" w:themeTint="98" w:themeShade="95"/>
        <w:sz w:val="22"/>
      </w:rPr>
      <w:tcPr>
        <w:shd w:val="clear" w:color="ffffff" w:themeColor="accent3" w:themeTint="40" w:fill="e5e5e5" w:themeFill="accent3" w:themeFillTint="40"/>
      </w:tcPr>
    </w:tblStylePr>
    <w:tblStylePr w:type="band1Vert">
      <w:tcPr>
        <w:shd w:val="clear" w:color="ffffff" w:themeColor="accent3" w:themeTint="40" w:fill="e5e5e5" w:themeFill="accent3" w:themeFillTint="40"/>
      </w:tcPr>
    </w:tblStylePr>
    <w:tblStylePr w:type="band2Horz">
      <w:rPr>
        <w:rFonts w:ascii="Arial" w:hAnsi="Arial"/>
        <w:color w:val="707070" w:themeColor="accent3" w:themeTint="98" w:themeShade="95"/>
        <w:sz w:val="22"/>
      </w:rPr>
    </w:tblStylePr>
    <w:tblStylePr w:type="firstCol">
      <w:rPr>
        <w:rFonts w:ascii="Arial" w:hAnsi="Arial"/>
        <w:i/>
        <w:color w:val="707070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07070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07070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07070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07070" w:themeColor="accent3" w:themeTint="98" w:themeShade="95"/>
        <w:sz w:val="22"/>
      </w:rPr>
    </w:tblStylePr>
  </w:style>
  <w:style w:type="table" w:styleId="150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86868" w:themeColor="accent4" w:themeTint="9A" w:themeShade="95"/>
        <w:sz w:val="22"/>
      </w:rPr>
      <w:tcPr>
        <w:shd w:val="clear" w:color="ffffff" w:themeColor="accent4" w:themeTint="40" w:fill="dfdfdf" w:themeFill="accent4" w:themeFillTint="40"/>
      </w:tcPr>
    </w:tblStylePr>
    <w:tblStylePr w:type="band1Vert">
      <w:tcPr>
        <w:shd w:val="clear" w:color="ffffff" w:themeColor="accent4" w:themeTint="40" w:fill="dfdfdf" w:themeFill="accent4" w:themeFillTint="40"/>
      </w:tcPr>
    </w:tblStylePr>
    <w:tblStylePr w:type="band2Horz">
      <w:rPr>
        <w:rFonts w:ascii="Arial" w:hAnsi="Arial"/>
        <w:color w:val="686868" w:themeColor="accent4" w:themeTint="9A" w:themeShade="95"/>
        <w:sz w:val="22"/>
      </w:rPr>
    </w:tblStylePr>
    <w:tblStylePr w:type="firstCol">
      <w:rPr>
        <w:rFonts w:ascii="Arial" w:hAnsi="Arial"/>
        <w:i/>
        <w:color w:val="686868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86868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86868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8686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86868" w:themeColor="accent4" w:themeTint="9A" w:themeShade="95"/>
        <w:sz w:val="22"/>
      </w:rPr>
    </w:tblStylePr>
  </w:style>
  <w:style w:type="table" w:styleId="151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5c5c5c" w:themeColor="accent5" w:themeTint="9A" w:themeShade="95"/>
        <w:sz w:val="22"/>
      </w:rPr>
      <w:tcPr>
        <w:shd w:val="clear" w:color="ffffff" w:themeColor="accent5" w:themeTint="40" w:fill="d7d7d7" w:themeFill="accent5" w:themeFillTint="40"/>
      </w:tcPr>
    </w:tblStylePr>
    <w:tblStylePr w:type="band1Vert">
      <w:tcPr>
        <w:shd w:val="clear" w:color="ffffff" w:themeColor="accent5" w:themeTint="40" w:fill="d7d7d7" w:themeFill="accent5" w:themeFillTint="40"/>
      </w:tcPr>
    </w:tblStylePr>
    <w:tblStylePr w:type="band2Horz">
      <w:rPr>
        <w:rFonts w:ascii="Arial" w:hAnsi="Arial"/>
        <w:color w:val="5c5c5c" w:themeColor="accent5" w:themeTint="9A" w:themeShade="95"/>
        <w:sz w:val="22"/>
      </w:rPr>
    </w:tblStylePr>
    <w:tblStylePr w:type="firstCol">
      <w:rPr>
        <w:rFonts w:ascii="Arial" w:hAnsi="Arial"/>
        <w:i/>
        <w:color w:val="5c5c5c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5c5c5c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5c5c5c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c5c5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c5c5c" w:themeColor="accent5" w:themeTint="9A" w:themeShade="95"/>
        <w:sz w:val="22"/>
      </w:rPr>
    </w:tblStylePr>
  </w:style>
  <w:style w:type="table" w:styleId="152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75757" w:themeColor="accent6" w:themeTint="98" w:themeShade="95"/>
        <w:sz w:val="22"/>
      </w:rPr>
      <w:tcPr>
        <w:shd w:val="clear" w:color="ffffff" w:themeColor="accent6" w:themeTint="40" w:fill="d2d2d2" w:themeFill="accent6" w:themeFillTint="40"/>
      </w:tcPr>
    </w:tblStylePr>
    <w:tblStylePr w:type="band1Vert">
      <w:tcPr>
        <w:shd w:val="clear" w:color="ffffff" w:themeColor="accent6" w:themeTint="40" w:fill="d2d2d2" w:themeFill="accent6" w:themeFillTint="40"/>
      </w:tcPr>
    </w:tblStylePr>
    <w:tblStylePr w:type="band2Horz">
      <w:rPr>
        <w:rFonts w:ascii="Arial" w:hAnsi="Arial"/>
        <w:color w:val="575757" w:themeColor="accent6" w:themeTint="98" w:themeShade="95"/>
        <w:sz w:val="22"/>
      </w:rPr>
    </w:tblStylePr>
    <w:tblStylePr w:type="firstCol">
      <w:rPr>
        <w:rFonts w:ascii="Arial" w:hAnsi="Arial"/>
        <w:i/>
        <w:color w:val="575757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75757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75757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75757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75757" w:themeColor="accent6" w:themeTint="98" w:themeShade="95"/>
        <w:sz w:val="22"/>
      </w:rPr>
    </w:tblStylePr>
  </w:style>
  <w:style w:type="table" w:styleId="153">
    <w:name w:val="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f4f4f4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f4f4f4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e0e0e0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e0e0e0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e0e0e0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e0e0e0" w:themeFill="accent1" w:themeFillTint="EA"/>
      </w:tcPr>
    </w:tblStylePr>
  </w:style>
  <w:style w:type="table" w:styleId="155">
    <w:name w:val="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0f0f0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0f0f0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1d1d1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1d1d1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1d1d1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1d1d1" w:themeFill="accent2" w:themeFillTint="97"/>
      </w:tcPr>
    </w:tblStylePr>
  </w:style>
  <w:style w:type="table" w:styleId="156">
    <w:name w:val="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eaea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eaea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69696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69696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69696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69696" w:themeFill="accent3" w:themeFillTint="FE"/>
      </w:tcPr>
    </w:tblStylePr>
  </w:style>
  <w:style w:type="table" w:styleId="157">
    <w:name w:val="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e5e5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e5e5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b2b2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b2b2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b2b2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b2b2" w:themeFill="accent4" w:themeFillTint="9A"/>
      </w:tcPr>
    </w:tblStylePr>
  </w:style>
  <w:style w:type="table" w:styleId="158">
    <w:name w:val="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edede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edede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f5f5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f5f5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f5f5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f5f5f" w:themeFill="accent5"/>
      </w:tcPr>
    </w:tblStylePr>
  </w:style>
  <w:style w:type="table" w:styleId="159">
    <w:name w:val="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bdbdb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bdbdb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d4d4d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d4d4d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d4d4d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d4d4d" w:themeFill="accent6"/>
      </w:tcPr>
    </w:tblStylePr>
  </w:style>
  <w:style w:type="table" w:styleId="160">
    <w:name w:val="Bordered &amp; 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f4f4f4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f4f4f4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e0e0e0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e0e0e0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e0e0e0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e0e0e0" w:themeFill="accent1" w:themeFillTint="EA"/>
      </w:tcPr>
    </w:tblStylePr>
  </w:style>
  <w:style w:type="table" w:styleId="162">
    <w:name w:val="Bordered &amp; 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0f0f0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0f0f0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1d1d1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1d1d1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1d1d1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1d1d1" w:themeFill="accent2" w:themeFillTint="97"/>
      </w:tcPr>
    </w:tblStylePr>
  </w:style>
  <w:style w:type="table" w:styleId="163">
    <w:name w:val="Bordered &amp; 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eaea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eaea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69696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69696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69696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69696" w:themeFill="accent3" w:themeFillTint="FE"/>
      </w:tcPr>
    </w:tblStylePr>
  </w:style>
  <w:style w:type="table" w:styleId="164">
    <w:name w:val="Bordered &amp; 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e5e5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e5e5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b2b2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b2b2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b2b2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b2b2" w:themeFill="accent4" w:themeFillTint="9A"/>
      </w:tcPr>
    </w:tblStylePr>
  </w:style>
  <w:style w:type="table" w:styleId="165">
    <w:name w:val="Bordered &amp; 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edede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edede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f5f5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f5f5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f5f5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f5f5f" w:themeFill="accent5"/>
      </w:tcPr>
    </w:tblStylePr>
  </w:style>
  <w:style w:type="table" w:styleId="166">
    <w:name w:val="Bordered &amp; 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bdbdb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bdbdb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d4d4d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d4d4d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d4d4d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d4d4d" w:themeFill="accent6"/>
      </w:tcPr>
    </w:tblStylePr>
  </w:style>
  <w:style w:type="table" w:styleId="167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9"/>
    <w:uiPriority w:val="99"/>
    <w:unhideWhenUsed/>
    <w:rPr>
      <w:vertAlign w:val="superscript"/>
    </w:rPr>
  </w:style>
  <w:style w:type="paragraph" w:styleId="178">
    <w:name w:val="endnote text"/>
    <w:basedOn w:val="68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9"/>
    <w:uiPriority w:val="99"/>
    <w:semiHidden/>
    <w:unhideWhenUsed/>
    <w:rPr>
      <w:vertAlign w:val="superscript"/>
    </w:rPr>
  </w:style>
  <w:style w:type="paragraph" w:styleId="181">
    <w:name w:val="toc 1"/>
    <w:basedOn w:val="688"/>
    <w:next w:val="68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8"/>
    <w:next w:val="68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8"/>
    <w:next w:val="68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8"/>
    <w:next w:val="68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8"/>
    <w:next w:val="68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8"/>
    <w:next w:val="68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8"/>
    <w:next w:val="68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8"/>
    <w:next w:val="68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8"/>
    <w:next w:val="68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8"/>
    <w:next w:val="688"/>
    <w:uiPriority w:val="99"/>
    <w:unhideWhenUsed/>
    <w:pPr>
      <w:spacing w:after="0" w:afterAutospacing="0"/>
    </w:pPr>
  </w:style>
  <w:style w:type="paragraph" w:styleId="688" w:default="1">
    <w:name w:val="Normal"/>
    <w:qFormat/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paragraph" w:styleId="692">
    <w:name w:val="Header"/>
    <w:basedOn w:val="688"/>
    <w:link w:val="69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3" w:customStyle="1">
    <w:name w:val="Верхний колонтитул Знак"/>
    <w:basedOn w:val="689"/>
    <w:link w:val="692"/>
    <w:uiPriority w:val="99"/>
  </w:style>
  <w:style w:type="paragraph" w:styleId="694" w:customStyle="1">
    <w:name w:val="Титул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95">
    <w:name w:val="Balloon Text"/>
    <w:basedOn w:val="688"/>
    <w:link w:val="69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6" w:customStyle="1">
    <w:name w:val="Текст выноски Знак"/>
    <w:basedOn w:val="689"/>
    <w:link w:val="695"/>
    <w:uiPriority w:val="99"/>
    <w:semiHidden/>
    <w:rPr>
      <w:rFonts w:ascii="Tahoma" w:hAnsi="Tahoma" w:cs="Tahoma"/>
      <w:sz w:val="16"/>
      <w:szCs w:val="16"/>
    </w:rPr>
  </w:style>
  <w:style w:type="paragraph" w:styleId="697">
    <w:name w:val="Footer"/>
    <w:basedOn w:val="688"/>
    <w:link w:val="69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8" w:customStyle="1">
    <w:name w:val="Нижний колонтитул Знак"/>
    <w:basedOn w:val="689"/>
    <w:link w:val="697"/>
    <w:uiPriority w:val="99"/>
  </w:style>
  <w:style w:type="paragraph" w:styleId="699" w:customStyle="1">
    <w:name w:val="Большой список уровень 4"/>
    <w:basedOn w:val="701"/>
    <w:qFormat/>
    <w:pPr>
      <w:numPr>
        <w:ilvl w:val="3"/>
      </w:numPr>
    </w:pPr>
  </w:style>
  <w:style w:type="paragraph" w:styleId="700" w:customStyle="1">
    <w:name w:val="Большой список уровень 2"/>
    <w:basedOn w:val="688"/>
    <w:link w:val="708"/>
    <w:qFormat/>
    <w:pPr>
      <w:numPr>
        <w:ilvl w:val="1"/>
        <w:numId w:val="3"/>
      </w:numPr>
      <w:jc w:val="both"/>
      <w:spacing w:after="0"/>
    </w:pPr>
    <w:rPr>
      <w:rFonts w:ascii="Times New Roman" w:hAnsi="Times New Roman" w:cs="Times New Roman"/>
      <w:sz w:val="26"/>
      <w:szCs w:val="28"/>
    </w:rPr>
  </w:style>
  <w:style w:type="paragraph" w:styleId="701" w:customStyle="1">
    <w:name w:val="Большой список уровень 3"/>
    <w:basedOn w:val="688"/>
    <w:qFormat/>
    <w:pPr>
      <w:numPr>
        <w:ilvl w:val="2"/>
        <w:numId w:val="3"/>
      </w:numPr>
      <w:jc w:val="both"/>
      <w:spacing w:after="0"/>
    </w:pPr>
    <w:rPr>
      <w:rFonts w:ascii="Times New Roman" w:hAnsi="Times New Roman"/>
      <w:sz w:val="26"/>
      <w:szCs w:val="28"/>
    </w:rPr>
  </w:style>
  <w:style w:type="numbering" w:styleId="702" w:customStyle="1">
    <w:name w:val="Большой список"/>
    <w:uiPriority w:val="99"/>
    <w:pPr>
      <w:numPr>
        <w:ilvl w:val="0"/>
        <w:numId w:val="1"/>
      </w:numPr>
    </w:pPr>
  </w:style>
  <w:style w:type="paragraph" w:styleId="703" w:customStyle="1">
    <w:name w:val="Большой список уровень 1"/>
    <w:basedOn w:val="688"/>
    <w:next w:val="688"/>
    <w:link w:val="704"/>
    <w:qFormat/>
    <w:pPr>
      <w:numPr>
        <w:ilvl w:val="0"/>
        <w:numId w:val="3"/>
      </w:numPr>
      <w:jc w:val="center"/>
      <w:keepNext/>
      <w:spacing w:before="360" w:after="0"/>
      <w:outlineLvl w:val="1"/>
    </w:pPr>
    <w:rPr>
      <w:rFonts w:ascii="Times New Roman" w:hAnsi="Times New Roman" w:eastAsia="Times New Roman" w:cs="Times New Roman"/>
      <w:b/>
      <w:bCs/>
      <w:caps/>
      <w:sz w:val="26"/>
      <w:szCs w:val="28"/>
      <w:lang w:eastAsia="ru-RU"/>
    </w:rPr>
  </w:style>
  <w:style w:type="character" w:styleId="704" w:customStyle="1">
    <w:name w:val="Большой список уровень 1 Знак"/>
    <w:basedOn w:val="689"/>
    <w:link w:val="703"/>
    <w:rPr>
      <w:rFonts w:ascii="Times New Roman" w:hAnsi="Times New Roman" w:eastAsia="Times New Roman" w:cs="Times New Roman"/>
      <w:b/>
      <w:bCs/>
      <w:caps/>
      <w:sz w:val="26"/>
      <w:szCs w:val="28"/>
      <w:lang w:eastAsia="ru-RU"/>
    </w:rPr>
  </w:style>
  <w:style w:type="paragraph" w:styleId="705" w:customStyle="1">
    <w:name w:val="Большой список маркированный"/>
    <w:basedOn w:val="700"/>
    <w:qFormat/>
    <w:pPr>
      <w:numPr>
        <w:ilvl w:val="0"/>
        <w:numId w:val="2"/>
      </w:numPr>
    </w:pPr>
  </w:style>
  <w:style w:type="numbering" w:styleId="706" w:customStyle="1">
    <w:name w:val="Список с маркерами"/>
    <w:uiPriority w:val="99"/>
    <w:pPr>
      <w:numPr>
        <w:ilvl w:val="0"/>
        <w:numId w:val="2"/>
      </w:numPr>
    </w:pPr>
  </w:style>
  <w:style w:type="paragraph" w:styleId="707" w:customStyle="1">
    <w:name w:val="Заголовки приложений"/>
    <w:basedOn w:val="688"/>
    <w:qFormat/>
    <w:pPr>
      <w:jc w:val="center"/>
      <w:spacing w:after="0"/>
    </w:pPr>
    <w:rPr>
      <w:rFonts w:ascii="Times New Roman" w:hAnsi="Times New Roman"/>
      <w:b/>
      <w:sz w:val="26"/>
      <w:szCs w:val="28"/>
    </w:rPr>
  </w:style>
  <w:style w:type="character" w:styleId="708" w:customStyle="1">
    <w:name w:val="Большой список уровень 2 Знак"/>
    <w:basedOn w:val="689"/>
    <w:link w:val="700"/>
    <w:rPr>
      <w:rFonts w:ascii="Times New Roman" w:hAnsi="Times New Roman" w:cs="Times New Roman"/>
      <w:sz w:val="26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34E65-05DA-4465-9D26-63E0EB87E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 Елена Петровна</dc:creator>
  <cp:revision>4</cp:revision>
  <dcterms:created xsi:type="dcterms:W3CDTF">2024-10-31T03:44:00Z</dcterms:created>
  <dcterms:modified xsi:type="dcterms:W3CDTF">2024-11-05T10:00:01Z</dcterms:modified>
</cp:coreProperties>
</file>