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rPr>
          <w:szCs w:val="16"/>
          <w:lang w:val="en-US"/>
        </w:rPr>
      </w:pPr>
      <w:r>
        <w:rPr>
          <w:szCs w:val="16"/>
          <w:lang w:val="en-US"/>
        </w:rPr>
      </w:r>
      <w:r>
        <w:rPr>
          <w:szCs w:val="16"/>
          <w:lang w:val="en-US"/>
        </w:rPr>
      </w:r>
      <w:r>
        <w:rPr>
          <w:szCs w:val="16"/>
          <w:lang w:val="en-US"/>
        </w:rPr>
      </w:r>
    </w:p>
    <w:p>
      <w:pPr>
        <w:pStyle w:val="932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932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932"/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932"/>
        <w:tabs>
          <w:tab w:val="left" w:pos="8860" w:leader="none"/>
        </w:tabs>
        <w:rPr>
          <w:szCs w:val="16"/>
        </w:rPr>
      </w:pPr>
      <w:r>
        <w:rPr>
          <w:szCs w:val="16"/>
        </w:rPr>
        <w:tab/>
      </w:r>
      <w:r>
        <w:rPr>
          <w:szCs w:val="16"/>
        </w:rPr>
      </w:r>
      <w:r>
        <w:rPr>
          <w:szCs w:val="16"/>
        </w:rPr>
      </w:r>
    </w:p>
    <w:p>
      <w:pPr>
        <w:pStyle w:val="932"/>
        <w:jc w:val="center"/>
      </w:pPr>
      <w:r/>
      <w:r/>
    </w:p>
    <w:p>
      <w:pPr>
        <w:pStyle w:val="932"/>
        <w:jc w:val="center"/>
        <w:rPr>
          <w:b/>
        </w:rPr>
      </w:pPr>
      <w:r>
        <w:rPr>
          <w:b/>
        </w:rPr>
        <w:t xml:space="preserve">ПОЯСНИТЕЛЬНАЯ ЗАПИСКА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 проекту распоряжения Правительства Новосибирской области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3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 внесении изменения в распоряжение Правительства Новосибирской области от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 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03.08.2015 №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 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287-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рп</w:t>
      </w:r>
      <w:r>
        <w:rPr>
          <w:b/>
          <w:bCs/>
          <w:color w:val="000000" w:themeColor="text1"/>
        </w:rPr>
        <w:t xml:space="preserve">»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32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32"/>
        <w:ind w:firstLine="720"/>
        <w:jc w:val="both"/>
      </w:pPr>
      <w:r/>
      <w:r/>
    </w:p>
    <w:p>
      <w:pPr>
        <w:pStyle w:val="932"/>
        <w:ind w:firstLine="709"/>
        <w:jc w:val="both"/>
      </w:pPr>
      <w:r>
        <w:t xml:space="preserve">Проект распоряжения Правительства Новосибирской области «О внесении изменения в распоряжение Правительства Новосибирской области от 03.08.2015 № 287-рп</w:t>
      </w:r>
      <w:r>
        <w:t xml:space="preserve">» разработан в соотве</w:t>
      </w:r>
      <w:r>
        <w:t xml:space="preserve">тствии с </w:t>
      </w:r>
      <w:r>
        <w:t xml:space="preserve">Законом Новосибирской области от 20.</w:t>
      </w:r>
      <w:r>
        <w:t xml:space="preserve">05.2004 № 181-ОЗ «О приватизации государственного имущества Новосибирской области.</w:t>
      </w:r>
      <w:r/>
    </w:p>
    <w:p>
      <w:pPr>
        <w:pStyle w:val="932"/>
        <w:ind w:firstLine="709"/>
        <w:jc w:val="both"/>
        <w:rPr>
          <w:highlight w:val="none"/>
        </w:rPr>
      </w:pPr>
      <w:r>
        <w:t xml:space="preserve">Перечень стратегических предприятий и стратегических акционерных обществ</w:t>
      </w:r>
      <w:r>
        <w:t xml:space="preserve"> (далее – Перечень) утвержден постановлением Законодательного Собрания Новосибирской области от 27.10.2022 № 202 (в редакции постановления Законодательного Собрания Новосибирской области от 23.04.2024 № 77).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t xml:space="preserve">Внесение изменений в Перечень обусловлено следующим: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В результате внесения в уставные капиталы акционерных обществ имущества, находящегося в государственной собственности Новосибирской области, и предоставления из областного бюджета Новосибирской области бюджетных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инвестиций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, в соотв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тствии с Бюджетным кодексом Российской Федерации, в течение 2024-2025 годах изменилось количество акций, находящихся в государственной собственности Новосибирской области, и общая доля участия Новосибирской области в уставных капиталах акционерных обществ: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Акционерное общество «Технопарк Новосибирского Академгородка» – количество акций увеличено на 1 767 565 штук;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Акционерное общество «Управляющая компания «Промышленно-логистический парк» – количество акций увеличено на 1 198 178 600 штук,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доля Новосибирской области составила 49,64 процента от уставного капитала акционерного общества;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Акционерное общество «Бердский лесхоз» – количество акций увеличено на 1 148 штук;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Акционерное общество «Дубровинский лесхоз» – количество акций увеличено на 4 021 штук.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</w:p>
    <w:p>
      <w:pPr>
        <w:ind w:firstLine="720"/>
        <w:jc w:val="both"/>
        <w:rPr>
          <w:highlight w:val="none"/>
        </w:rPr>
      </w:pPr>
      <w:r>
        <w:t xml:space="preserve">В соответствии со стат</w:t>
      </w:r>
      <w:r>
        <w:t xml:space="preserve">ьей 7.1 Закона Новосиб</w:t>
      </w:r>
      <w:r>
        <w:t xml:space="preserve">ирской области от 25.12.2006 № 80-ОЗ «О нормативных правовых актах Новосибирской области», разработанный Проект распоряжения Правительства Новосибирской области не требует проведения оценки регулирующего воздействия, поскольку проект </w:t>
      </w:r>
      <w:r>
        <w:t xml:space="preserve">распоряжения</w:t>
      </w:r>
      <w:r>
        <w:t xml:space="preserve"> Правительства Новосибирской области не затрагивает вопросы осуществления предпринимательской и инвестиционной</w:t>
      </w:r>
      <w:r>
        <w:t xml:space="preserve"> деятельности, не касается установления, изменения или отмены ранее установленной ответственности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  <w:r>
        <w:rPr>
          <w:highlight w:val="none"/>
        </w:rPr>
      </w:r>
      <w:r>
        <w:rPr>
          <w:highlight w:val="none"/>
        </w:rPr>
      </w:r>
    </w:p>
    <w:p>
      <w:pPr>
        <w:pStyle w:val="932"/>
        <w:jc w:val="both"/>
        <w:tabs>
          <w:tab w:val="center" w:pos="9072" w:leader="none"/>
        </w:tabs>
      </w:pPr>
      <w:r/>
      <w:r/>
    </w:p>
    <w:p>
      <w:pPr>
        <w:pStyle w:val="932"/>
        <w:jc w:val="both"/>
        <w:tabs>
          <w:tab w:val="center" w:pos="9072" w:leader="none"/>
        </w:tabs>
      </w:pPr>
      <w:r/>
      <w:r/>
    </w:p>
    <w:p>
      <w:pPr>
        <w:pStyle w:val="932"/>
        <w:jc w:val="both"/>
        <w:tabs>
          <w:tab w:val="center" w:pos="9072" w:leader="none"/>
        </w:tabs>
      </w:pPr>
      <w:r/>
      <w:r/>
    </w:p>
    <w:p>
      <w:pPr>
        <w:pStyle w:val="932"/>
        <w:jc w:val="both"/>
        <w:tabs>
          <w:tab w:val="center" w:pos="9072" w:leader="none"/>
        </w:tabs>
        <w:rPr>
          <w:highlight w:val="none"/>
        </w:rPr>
      </w:pPr>
      <w:r>
        <w:t xml:space="preserve">Руководитель департамента                                                             Р.Г. Шилохвостов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left"/>
        <w:tabs>
          <w:tab w:val="left" w:pos="8604" w:leader="none"/>
          <w:tab w:val="center" w:pos="9072" w:leader="none"/>
        </w:tabs>
      </w:pPr>
      <w:r>
        <w:tab/>
      </w:r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</w:pPr>
      <w:r/>
      <w:r/>
    </w:p>
    <w:p>
      <w:pPr>
        <w:jc w:val="both"/>
        <w:tabs>
          <w:tab w:val="center" w:pos="9072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Бородина Ася Александровна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tabs>
          <w:tab w:val="center" w:pos="9072" w:leader="none"/>
        </w:tabs>
      </w:pPr>
      <w:r>
        <w:rPr>
          <w:sz w:val="20"/>
          <w:szCs w:val="20"/>
          <w:highlight w:val="none"/>
        </w:rPr>
        <w:t xml:space="preserve">238-60-52</w:t>
      </w:r>
      <w:r>
        <w:rPr>
          <w:highlight w:val="none"/>
        </w:rPr>
      </w:r>
      <w:r/>
    </w:p>
    <w:p>
      <w:pPr>
        <w:pStyle w:val="932"/>
        <w:jc w:val="both"/>
        <w:tabs>
          <w:tab w:val="center" w:pos="9072" w:leader="none"/>
        </w:tabs>
      </w:pPr>
      <w:r/>
      <w:r/>
    </w:p>
    <w:sectPr>
      <w:headerReference w:type="first" r:id="rId9"/>
      <w:footnotePr/>
      <w:endnotePr/>
      <w:type w:val="nextPage"/>
      <w:pgSz w:w="11907" w:h="16840" w:orient="portrait"/>
      <w:pgMar w:top="-1134" w:right="567" w:bottom="993" w:left="1418" w:header="709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6219" cy="64755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6219" cy="647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01pt;height:50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93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48"/>
    </w:pPr>
    <w:r>
      <w:t xml:space="preserve">ДЕПАРТАМЕНТ ИМУЩЕСТВА</w:t>
    </w:r>
    <w:r/>
  </w:p>
  <w:p>
    <w:pPr>
      <w:pStyle w:val="946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 xml:space="preserve">НОВОСИБИРСКОЙ ОБЛАСТИ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4631690</wp:posOffset>
              </wp:positionH>
              <wp:positionV relativeFrom="paragraph">
                <wp:posOffset>152400</wp:posOffset>
              </wp:positionV>
              <wp:extent cx="1371600" cy="22860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32"/>
                            <w:jc w:val="center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  <w:p>
                          <w:pPr>
                            <w:pStyle w:val="932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1;o:allowoverlap:true;o:allowincell:true;mso-position-horizontal-relative:text;margin-left:364.70pt;mso-position-horizontal:absolute;mso-position-vertical-relative:text;margin-top:12.00pt;mso-position-vertical:absolute;width:108.00pt;height:18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2"/>
                      <w:jc w:val="center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  <w:p>
                    <w:pPr>
                      <w:pStyle w:val="932"/>
                    </w:pPr>
                    <w:r/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152400</wp:posOffset>
              </wp:positionV>
              <wp:extent cx="1600200" cy="228600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32"/>
                            <w:jc w:val="center"/>
                          </w:pPr>
                          <w:r/>
                          <w:r/>
                        </w:p>
                        <w:p>
                          <w:pPr>
                            <w:pStyle w:val="932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24288;o:allowoverlap:true;o:allowincell:true;mso-position-horizontal-relative:text;margin-left:2.75pt;mso-position-horizontal:absolute;mso-position-vertical-relative:text;margin-top:12.00pt;mso-position-vertical:absolute;width:126.00pt;height:18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2"/>
                      <w:jc w:val="center"/>
                    </w:pPr>
                    <w:r/>
                    <w:r/>
                  </w:p>
                  <w:p>
                    <w:pPr>
                      <w:pStyle w:val="93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</w:r>
    <w:r>
      <w:rPr>
        <w:sz w:val="28"/>
        <w:szCs w:val="28"/>
      </w:rPr>
    </w:r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8"/>
      <w:szCs w:val="28"/>
      <w:lang w:val="ru-RU" w:eastAsia="ru-RU" w:bidi="ar-SA"/>
    </w:rPr>
  </w:style>
  <w:style w:type="character" w:styleId="933">
    <w:name w:val="Основной шрифт абзаца"/>
    <w:next w:val="933"/>
    <w:link w:val="932"/>
    <w:semiHidden/>
  </w:style>
  <w:style w:type="table" w:styleId="934">
    <w:name w:val="Обычная таблица"/>
    <w:next w:val="934"/>
    <w:link w:val="932"/>
    <w:semiHidden/>
    <w:tblPr/>
  </w:style>
  <w:style w:type="numbering" w:styleId="935">
    <w:name w:val="Нет списка"/>
    <w:next w:val="935"/>
    <w:link w:val="932"/>
    <w:semiHidden/>
  </w:style>
  <w:style w:type="paragraph" w:styleId="936">
    <w:name w:val="заголовок 4"/>
    <w:basedOn w:val="932"/>
    <w:next w:val="932"/>
    <w:link w:val="932"/>
    <w:pPr>
      <w:jc w:val="center"/>
      <w:keepNext/>
    </w:pPr>
    <w:rPr>
      <w:b/>
      <w:bCs/>
    </w:rPr>
  </w:style>
  <w:style w:type="paragraph" w:styleId="937">
    <w:name w:val="заголовок 5"/>
    <w:basedOn w:val="932"/>
    <w:next w:val="932"/>
    <w:link w:val="932"/>
    <w:pPr>
      <w:jc w:val="center"/>
      <w:keepNext/>
    </w:pPr>
    <w:rPr>
      <w:sz w:val="24"/>
      <w:szCs w:val="24"/>
    </w:rPr>
  </w:style>
  <w:style w:type="paragraph" w:styleId="938">
    <w:name w:val="заголовок 6"/>
    <w:basedOn w:val="932"/>
    <w:next w:val="932"/>
    <w:link w:val="932"/>
    <w:pPr>
      <w:jc w:val="center"/>
      <w:keepNext/>
    </w:pPr>
  </w:style>
  <w:style w:type="character" w:styleId="939">
    <w:name w:val="Основной шрифт"/>
    <w:next w:val="939"/>
    <w:link w:val="932"/>
  </w:style>
  <w:style w:type="paragraph" w:styleId="940">
    <w:name w:val="Верхний колонтитул"/>
    <w:basedOn w:val="932"/>
    <w:next w:val="940"/>
    <w:link w:val="932"/>
    <w:pPr>
      <w:tabs>
        <w:tab w:val="center" w:pos="4153" w:leader="none"/>
        <w:tab w:val="right" w:pos="8306" w:leader="none"/>
      </w:tabs>
    </w:pPr>
  </w:style>
  <w:style w:type="paragraph" w:styleId="941">
    <w:name w:val="Письмо главы"/>
    <w:basedOn w:val="932"/>
    <w:next w:val="941"/>
    <w:link w:val="932"/>
    <w:pPr>
      <w:ind w:firstLine="709"/>
      <w:jc w:val="both"/>
    </w:pPr>
  </w:style>
  <w:style w:type="paragraph" w:styleId="942">
    <w:name w:val="Нижний колонтитул"/>
    <w:basedOn w:val="932"/>
    <w:next w:val="942"/>
    <w:link w:val="954"/>
    <w:pPr>
      <w:tabs>
        <w:tab w:val="center" w:pos="4153" w:leader="none"/>
        <w:tab w:val="right" w:pos="8306" w:leader="none"/>
      </w:tabs>
    </w:pPr>
  </w:style>
  <w:style w:type="character" w:styleId="943">
    <w:name w:val="номер страницы"/>
    <w:basedOn w:val="939"/>
    <w:next w:val="943"/>
    <w:link w:val="932"/>
  </w:style>
  <w:style w:type="paragraph" w:styleId="944">
    <w:name w:val="Основной текст"/>
    <w:basedOn w:val="932"/>
    <w:next w:val="944"/>
    <w:link w:val="932"/>
    <w:pPr>
      <w:jc w:val="both"/>
    </w:pPr>
    <w:rPr>
      <w:sz w:val="24"/>
      <w:szCs w:val="24"/>
    </w:rPr>
  </w:style>
  <w:style w:type="character" w:styleId="945">
    <w:name w:val="Гиперссылка"/>
    <w:next w:val="945"/>
    <w:link w:val="932"/>
    <w:rPr>
      <w:color w:val="0000ff"/>
      <w:u w:val="single"/>
    </w:rPr>
  </w:style>
  <w:style w:type="paragraph" w:styleId="946">
    <w:name w:val="Основной текст с отступом"/>
    <w:basedOn w:val="932"/>
    <w:next w:val="946"/>
    <w:link w:val="932"/>
    <w:pPr>
      <w:jc w:val="center"/>
    </w:pPr>
    <w:rPr>
      <w:b/>
      <w:bCs/>
      <w:sz w:val="26"/>
      <w:szCs w:val="26"/>
    </w:rPr>
  </w:style>
  <w:style w:type="paragraph" w:styleId="947">
    <w:name w:val="Основной текст с отступом 2"/>
    <w:basedOn w:val="932"/>
    <w:next w:val="947"/>
    <w:link w:val="932"/>
    <w:pPr>
      <w:ind w:left="360"/>
      <w:jc w:val="both"/>
    </w:pPr>
  </w:style>
  <w:style w:type="paragraph" w:styleId="948">
    <w:name w:val="Основной текст 3"/>
    <w:basedOn w:val="932"/>
    <w:next w:val="948"/>
    <w:link w:val="932"/>
    <w:pPr>
      <w:jc w:val="center"/>
    </w:pPr>
    <w:rPr>
      <w:b/>
      <w:bCs/>
    </w:rPr>
  </w:style>
  <w:style w:type="paragraph" w:styleId="949">
    <w:name w:val="Основной текст с отступом 3"/>
    <w:basedOn w:val="932"/>
    <w:next w:val="949"/>
    <w:link w:val="932"/>
    <w:pPr>
      <w:ind w:left="-142" w:firstLine="851"/>
      <w:jc w:val="both"/>
    </w:pPr>
  </w:style>
  <w:style w:type="character" w:styleId="950">
    <w:name w:val="Просмотренная гиперссылка"/>
    <w:next w:val="950"/>
    <w:link w:val="932"/>
    <w:rPr>
      <w:color w:val="800080"/>
      <w:u w:val="single"/>
    </w:rPr>
  </w:style>
  <w:style w:type="paragraph" w:styleId="951">
    <w:name w:val="Обычный (веб)"/>
    <w:basedOn w:val="932"/>
    <w:next w:val="951"/>
    <w:link w:val="932"/>
    <w:pPr>
      <w:spacing w:before="100" w:beforeAutospacing="1" w:after="100" w:afterAutospacing="1"/>
    </w:pPr>
    <w:rPr>
      <w:sz w:val="24"/>
      <w:szCs w:val="24"/>
    </w:r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character" w:styleId="954">
    <w:name w:val="Нижний колонтитул Знак"/>
    <w:next w:val="954"/>
    <w:link w:val="942"/>
    <w:rPr>
      <w:sz w:val="28"/>
      <w:szCs w:val="28"/>
    </w:rPr>
  </w:style>
  <w:style w:type="paragraph" w:styleId="955">
    <w:name w:val="Знак"/>
    <w:basedOn w:val="932"/>
    <w:next w:val="955"/>
    <w:link w:val="9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  <w:style w:type="paragraph" w:styleId="959" w:customStyle="1">
    <w:name w:val="Обычный (веб),Обычный (Web)1,Обычный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ScaleCrop>false</ScaleCrop>
  <SharedDoc>false</SharedDoc>
  <Template>общий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Корнилова Дина Сергеевна</dc:creator>
  <cp:revision>14</cp:revision>
  <dcterms:created xsi:type="dcterms:W3CDTF">2023-06-07T08:41:00Z</dcterms:created>
  <dcterms:modified xsi:type="dcterms:W3CDTF">2025-02-10T03:35:36Z</dcterms:modified>
  <cp:version>1048576</cp:version>
</cp:coreProperties>
</file>