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 № 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сентября 2025 года Сибирского фестиваля бега –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XXVIII Новосибирского полумарафона Александра Раевича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городе Новосибирске</w:t>
      </w:r>
      <w:r>
        <w:rPr>
          <w:rFonts w:ascii="Times New Roman" w:hAnsi="Times New Roman" w:eastAsia="Times New Roman" w:cs="Times New Roman"/>
          <w:b/>
          <w:sz w:val="28"/>
          <w:szCs w:val="20"/>
        </w:rPr>
      </w:r>
      <w:r>
        <w:rPr>
          <w:rFonts w:ascii="Times New Roman" w:hAnsi="Times New Roman" w:eastAsia="Times New Roman" w:cs="Times New Roman"/>
          <w:b/>
          <w:sz w:val="28"/>
          <w:szCs w:val="20"/>
        </w:rPr>
      </w:r>
    </w:p>
    <w:p>
      <w:pPr>
        <w:pStyle w:val="67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2"/>
        <w:gridCol w:w="426"/>
        <w:gridCol w:w="6097"/>
      </w:tblGrid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Дудникова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ru-RU" w:bidi="ar-SA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министр физической культуры и спорта Новосибирской области, заместитель председателя организационного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Лебедева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Светлана 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left"/>
              <w:spacing w:before="0" w:after="0" w:line="240" w:lineRule="auto"/>
              <w:widowControl w:val="off"/>
              <w:tabs>
                <w:tab w:val="left" w:pos="-3828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Бахарева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Елена Викторовна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министр труда и социального развития Новосибирской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ind w:left="0" w:right="-108" w:firstLine="0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Буньков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ind w:left="0" w:right="-108" w:firstLine="0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директор государственного автономного учреждения Новосибирской области «Дирекция спортивных мероприятий»;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spacing w:before="0" w:after="0" w:afterAutospacing="0" w:line="283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Гришунин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spacing w:before="0" w:after="0" w:afterAutospacing="0" w:line="283" w:lineRule="atLeas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Дмитрий Игоревич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afterAutospacing="0" w:line="283" w:lineRule="atLeas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Гусев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Евгений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представитель Региональной общественной организации «Федерация легкой атлетики Новосибирской области»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Заблоцкий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Ростислав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 w:bidi="ar-SA"/>
              </w:rPr>
              <w:t xml:space="preserve">министр здравоохранения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ru-RU" w:bidi="ar-SA"/>
              </w:rPr>
              <w:t xml:space="preserve">заместитель министра культуры Новосибирской области;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Катионов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spacing w:before="0"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Олегович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tabs>
                <w:tab w:val="left" w:pos="-3828" w:leader="none"/>
                <w:tab w:val="clear" w:pos="708" w:leader="none"/>
              </w:tabs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физической культуры и спорта мэрии города Новосибирска (по 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Кветков</w:t>
              <w:br/>
              <w:t xml:space="preserve">Алексей Александрович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нача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льника Главного управления Министерства Российской Федерации по делам гражданской обороны, чрезвычайным ситуациям и ликвидации последствий стихийных бедствий по Новосибирской области (по Государственной противопожарной службе), полковник внутренней службы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Кириллов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Алексей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Ковалева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Кристина Андреевна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консультант отдела пресс-службы Правительства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contextualSpacing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Малахов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Дмитрий Олегович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contextualSpacing/>
              <w:jc w:val="left"/>
              <w:spacing w:before="0" w:after="0" w:line="240" w:lineRule="auto"/>
              <w:widowControl w:val="off"/>
              <w:tabs>
                <w:tab w:val="left" w:pos="-3828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Президент Региональной общественной организации «Федерация легкой атлетики Новосибирской области»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ind w:left="0" w:right="-108" w:firstLine="0"/>
              <w:jc w:val="both"/>
              <w:spacing w:before="0" w:after="0" w:line="23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ind w:left="0" w:right="-108" w:firstLine="0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Светлана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заместитель министра образования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Носков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Василий 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руководитель департамента молодежной политики Новосибирской области;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ind w:left="0" w:right="-108" w:firstLine="0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Овсянников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ind w:left="0" w:right="-108" w:firstLine="0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30" w:lineRule="auto"/>
              <w:widowControl w:val="off"/>
              <w:tabs>
                <w:tab w:val="clear" w:pos="708" w:leader="none"/>
                <w:tab w:val="left" w:pos="6228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Пономарев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Андрей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заместитель начальника полиции (по охране общественного порядка) Главного управления Министерства внутренних дел Российской Федерации по  Новосибирской области, полковник полиции (по согласованию);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2" w:type="dxa"/>
            <w:textDirection w:val="lrTb"/>
            <w:noWrap w:val="false"/>
          </w:tcPr>
          <w:p>
            <w:pPr>
              <w:pStyle w:val="679"/>
              <w:ind w:left="0" w:right="-108" w:firstLine="0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Щербатов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Александр Федорович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pStyle w:val="679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97" w:type="dxa"/>
            <w:textDirection w:val="lrTb"/>
            <w:noWrap/>
          </w:tcPr>
          <w:p>
            <w:pPr>
              <w:pStyle w:val="679"/>
              <w:jc w:val="both"/>
              <w:spacing w:before="0" w:after="0" w:line="23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руководитель Управления Федеральной службы по надзору в сфере защиты прав потребителей и  благополучия человека по Новосибирской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67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0" w:right="567" w:bottom="850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righ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80">
    <w:name w:val="Heading 1"/>
    <w:basedOn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1 Char"/>
    <w:basedOn w:val="712"/>
    <w:uiPriority w:val="9"/>
    <w:qFormat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712"/>
    <w:uiPriority w:val="9"/>
    <w:qFormat/>
    <w:rPr>
      <w:rFonts w:ascii="Arial" w:hAnsi="Arial" w:eastAsia="Arial" w:cs="Arial"/>
      <w:sz w:val="34"/>
    </w:rPr>
  </w:style>
  <w:style w:type="character" w:styleId="691">
    <w:name w:val="Heading 3 Char"/>
    <w:basedOn w:val="712"/>
    <w:uiPriority w:val="9"/>
    <w:qFormat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2"/>
    <w:uiPriority w:val="10"/>
    <w:qFormat/>
    <w:rPr>
      <w:sz w:val="48"/>
      <w:szCs w:val="48"/>
    </w:rPr>
  </w:style>
  <w:style w:type="character" w:styleId="699">
    <w:name w:val="Subtitle Char"/>
    <w:basedOn w:val="712"/>
    <w:uiPriority w:val="11"/>
    <w:qFormat/>
    <w:rPr>
      <w:sz w:val="24"/>
      <w:szCs w:val="24"/>
    </w:rPr>
  </w:style>
  <w:style w:type="character" w:styleId="700">
    <w:name w:val="Quote Char"/>
    <w:uiPriority w:val="29"/>
    <w:qFormat/>
    <w:rPr>
      <w:i/>
    </w:rPr>
  </w:style>
  <w:style w:type="character" w:styleId="701">
    <w:name w:val="Intense Quote Char"/>
    <w:uiPriority w:val="30"/>
    <w:qFormat/>
    <w:rPr>
      <w:i/>
    </w:rPr>
  </w:style>
  <w:style w:type="character" w:styleId="702">
    <w:name w:val="Header Char"/>
    <w:basedOn w:val="712"/>
    <w:uiPriority w:val="99"/>
    <w:qFormat/>
  </w:style>
  <w:style w:type="character" w:styleId="703">
    <w:name w:val="Footer Char"/>
    <w:basedOn w:val="712"/>
    <w:uiPriority w:val="99"/>
    <w:qFormat/>
  </w:style>
  <w:style w:type="character" w:styleId="704">
    <w:name w:val="Caption Char"/>
    <w:uiPriority w:val="99"/>
    <w:qFormat/>
  </w:style>
  <w:style w:type="character" w:styleId="705">
    <w:name w:val="Hyperlink"/>
    <w:uiPriority w:val="99"/>
    <w:unhideWhenUsed/>
    <w:rPr>
      <w:color w:val="0000ff" w:themeColor="hyperlink"/>
      <w:u w:val="single"/>
    </w:rPr>
  </w:style>
  <w:style w:type="character" w:styleId="706">
    <w:name w:val="Footnote Text Char"/>
    <w:uiPriority w:val="99"/>
    <w:qFormat/>
    <w:rPr>
      <w:sz w:val="18"/>
    </w:rPr>
  </w:style>
  <w:style w:type="character" w:styleId="707">
    <w:name w:val="Символ сноски"/>
    <w:uiPriority w:val="99"/>
    <w:unhideWhenUsed/>
    <w:qFormat/>
    <w:rPr>
      <w:vertAlign w:val="superscript"/>
    </w:rPr>
  </w:style>
  <w:style w:type="character" w:styleId="708">
    <w:name w:val="footnote reference"/>
    <w:rPr>
      <w:vertAlign w:val="superscript"/>
    </w:rPr>
  </w:style>
  <w:style w:type="character" w:styleId="709">
    <w:name w:val="Endnote Text Char"/>
    <w:uiPriority w:val="99"/>
    <w:qFormat/>
    <w:rPr>
      <w:sz w:val="20"/>
    </w:rPr>
  </w:style>
  <w:style w:type="character" w:styleId="7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1">
    <w:name w:val="endnote reference"/>
    <w:rPr>
      <w:vertAlign w:val="superscript"/>
    </w:rPr>
  </w:style>
  <w:style w:type="character" w:styleId="712" w:default="1">
    <w:name w:val="Default Paragraph Font"/>
    <w:uiPriority w:val="1"/>
    <w:semiHidden/>
    <w:unhideWhenUsed/>
    <w:qFormat/>
  </w:style>
  <w:style w:type="character" w:styleId="713">
    <w:name w:val="Strong"/>
    <w:basedOn w:val="712"/>
    <w:uiPriority w:val="22"/>
    <w:qFormat/>
    <w:rPr>
      <w:b/>
      <w:bCs/>
    </w:rPr>
  </w:style>
  <w:style w:type="character" w:styleId="714" w:customStyle="1">
    <w:name w:val="Текст выноски Знак"/>
    <w:basedOn w:val="712"/>
    <w:uiPriority w:val="99"/>
    <w:semiHidden/>
    <w:qFormat/>
    <w:rPr>
      <w:rFonts w:ascii="Tahoma" w:hAnsi="Tahoma" w:cs="Tahoma"/>
      <w:sz w:val="16"/>
      <w:szCs w:val="16"/>
    </w:rPr>
  </w:style>
  <w:style w:type="character" w:styleId="715" w:customStyle="1">
    <w:name w:val="Верхний колонтитул Знак"/>
    <w:basedOn w:val="712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16" w:customStyle="1">
    <w:name w:val="Нижний колонтитул Знак"/>
    <w:basedOn w:val="712"/>
    <w:uiPriority w:val="99"/>
    <w:qFormat/>
  </w:style>
  <w:style w:type="paragraph" w:styleId="717">
    <w:name w:val="Заголовок"/>
    <w:basedOn w:val="679"/>
    <w:next w:val="71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8">
    <w:name w:val="Body Text"/>
    <w:basedOn w:val="679"/>
    <w:pPr>
      <w:spacing w:before="0" w:after="140" w:line="276" w:lineRule="auto"/>
    </w:pPr>
  </w:style>
  <w:style w:type="paragraph" w:styleId="719">
    <w:name w:val="List"/>
    <w:basedOn w:val="718"/>
    <w:rPr>
      <w:rFonts w:cs="Droid Sans Devanagari"/>
    </w:rPr>
  </w:style>
  <w:style w:type="paragraph" w:styleId="720">
    <w:name w:val="Caption"/>
    <w:basedOn w:val="679"/>
    <w:link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1">
    <w:name w:val="Указатель"/>
    <w:basedOn w:val="679"/>
    <w:qFormat/>
    <w:pPr>
      <w:suppressLineNumbers/>
    </w:pPr>
    <w:rPr>
      <w:rFonts w:cs="Droid Sans Devanagari"/>
    </w:rPr>
  </w:style>
  <w:style w:type="paragraph" w:styleId="722">
    <w:name w:val="List Paragraph"/>
    <w:basedOn w:val="679"/>
    <w:uiPriority w:val="34"/>
    <w:qFormat/>
    <w:pPr>
      <w:contextualSpacing/>
      <w:ind w:left="720" w:firstLine="0"/>
      <w:spacing w:before="0" w:after="0"/>
    </w:pPr>
  </w:style>
  <w:style w:type="paragraph" w:styleId="72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24">
    <w:name w:val="Title"/>
    <w:basedOn w:val="67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5">
    <w:name w:val="Subtitle"/>
    <w:basedOn w:val="679"/>
    <w:uiPriority w:val="11"/>
    <w:qFormat/>
    <w:pPr>
      <w:spacing w:before="200" w:after="200"/>
    </w:pPr>
    <w:rPr>
      <w:sz w:val="24"/>
      <w:szCs w:val="24"/>
    </w:rPr>
  </w:style>
  <w:style w:type="paragraph" w:styleId="726">
    <w:name w:val="Quote"/>
    <w:basedOn w:val="679"/>
    <w:uiPriority w:val="29"/>
    <w:qFormat/>
    <w:pPr>
      <w:ind w:left="720" w:right="720" w:firstLine="0"/>
    </w:pPr>
    <w:rPr>
      <w:i/>
    </w:rPr>
  </w:style>
  <w:style w:type="paragraph" w:styleId="727">
    <w:name w:val="Intense Quote"/>
    <w:basedOn w:val="67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8">
    <w:name w:val="footnote text"/>
    <w:basedOn w:val="67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9">
    <w:name w:val="endnote text"/>
    <w:basedOn w:val="67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0">
    <w:name w:val="toc 1"/>
    <w:basedOn w:val="679"/>
    <w:uiPriority w:val="39"/>
    <w:unhideWhenUsed/>
    <w:pPr>
      <w:ind w:left="0" w:right="0" w:firstLine="0"/>
      <w:spacing w:before="0" w:after="57"/>
    </w:pPr>
  </w:style>
  <w:style w:type="paragraph" w:styleId="731">
    <w:name w:val="toc 2"/>
    <w:basedOn w:val="679"/>
    <w:uiPriority w:val="39"/>
    <w:unhideWhenUsed/>
    <w:pPr>
      <w:ind w:left="283" w:right="0" w:firstLine="0"/>
      <w:spacing w:before="0" w:after="57"/>
    </w:pPr>
  </w:style>
  <w:style w:type="paragraph" w:styleId="732">
    <w:name w:val="toc 3"/>
    <w:basedOn w:val="679"/>
    <w:uiPriority w:val="39"/>
    <w:unhideWhenUsed/>
    <w:pPr>
      <w:ind w:left="567" w:right="0" w:firstLine="0"/>
      <w:spacing w:before="0" w:after="57"/>
    </w:pPr>
  </w:style>
  <w:style w:type="paragraph" w:styleId="733">
    <w:name w:val="toc 4"/>
    <w:basedOn w:val="679"/>
    <w:uiPriority w:val="39"/>
    <w:unhideWhenUsed/>
    <w:pPr>
      <w:ind w:left="850" w:right="0" w:firstLine="0"/>
      <w:spacing w:before="0" w:after="57"/>
    </w:pPr>
  </w:style>
  <w:style w:type="paragraph" w:styleId="734">
    <w:name w:val="toc 5"/>
    <w:basedOn w:val="679"/>
    <w:uiPriority w:val="39"/>
    <w:unhideWhenUsed/>
    <w:pPr>
      <w:ind w:left="1134" w:right="0" w:firstLine="0"/>
      <w:spacing w:before="0" w:after="57"/>
    </w:pPr>
  </w:style>
  <w:style w:type="paragraph" w:styleId="735">
    <w:name w:val="toc 6"/>
    <w:basedOn w:val="679"/>
    <w:uiPriority w:val="39"/>
    <w:unhideWhenUsed/>
    <w:pPr>
      <w:ind w:left="1417" w:right="0" w:firstLine="0"/>
      <w:spacing w:before="0" w:after="57"/>
    </w:pPr>
  </w:style>
  <w:style w:type="paragraph" w:styleId="736">
    <w:name w:val="toc 7"/>
    <w:basedOn w:val="679"/>
    <w:uiPriority w:val="39"/>
    <w:unhideWhenUsed/>
    <w:pPr>
      <w:ind w:left="1701" w:right="0" w:firstLine="0"/>
      <w:spacing w:before="0" w:after="57"/>
    </w:pPr>
  </w:style>
  <w:style w:type="paragraph" w:styleId="737">
    <w:name w:val="toc 8"/>
    <w:basedOn w:val="679"/>
    <w:uiPriority w:val="39"/>
    <w:unhideWhenUsed/>
    <w:pPr>
      <w:ind w:left="1984" w:right="0" w:firstLine="0"/>
      <w:spacing w:before="0" w:after="57"/>
    </w:pPr>
  </w:style>
  <w:style w:type="paragraph" w:styleId="738">
    <w:name w:val="toc 9"/>
    <w:basedOn w:val="679"/>
    <w:uiPriority w:val="39"/>
    <w:unhideWhenUsed/>
    <w:pPr>
      <w:ind w:left="2268" w:right="0" w:firstLine="0"/>
      <w:spacing w:before="0" w:after="57"/>
    </w:pPr>
  </w:style>
  <w:style w:type="paragraph" w:styleId="739">
    <w:name w:val="Index Heading"/>
    <w:basedOn w:val="717"/>
  </w:style>
  <w:style w:type="paragraph" w:styleId="740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41">
    <w:name w:val="table of figures"/>
    <w:basedOn w:val="679"/>
    <w:uiPriority w:val="99"/>
    <w:unhideWhenUsed/>
    <w:qFormat/>
    <w:pPr>
      <w:spacing w:before="0" w:after="0" w:afterAutospacing="0"/>
    </w:pPr>
  </w:style>
  <w:style w:type="paragraph" w:styleId="742">
    <w:name w:val="Balloon Text"/>
    <w:basedOn w:val="67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43">
    <w:name w:val="Колонтитул"/>
    <w:basedOn w:val="679"/>
    <w:qFormat/>
  </w:style>
  <w:style w:type="paragraph" w:styleId="744">
    <w:name w:val="Header"/>
    <w:basedOn w:val="679"/>
    <w:uiPriority w:val="99"/>
    <w:qFormat/>
    <w:pPr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</w:rPr>
  </w:style>
  <w:style w:type="paragraph" w:styleId="745">
    <w:name w:val="Footer"/>
    <w:basedOn w:val="679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746" w:default="1">
    <w:name w:val="No List"/>
    <w:uiPriority w:val="99"/>
    <w:semiHidden/>
    <w:unhideWhenUsed/>
    <w:qFormat/>
  </w:style>
  <w:style w:type="table" w:styleId="74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DFCE-5A3D-435E-ABF7-7D55968D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lastModifiedBy>user</cp:lastModifiedBy>
  <cp:revision>20</cp:revision>
  <dcterms:created xsi:type="dcterms:W3CDTF">2024-07-16T09:39:00Z</dcterms:created>
  <dcterms:modified xsi:type="dcterms:W3CDTF">2025-07-14T07:16:46Z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B05774D53E9140AA9B990229C98CD4B8</vt:lpwstr>
  </property>
  <property fmtid="{D5CDD505-2E9C-101B-9397-08002B2CF9AE}" pid="3" name="KSOProductBuildVer">
    <vt:lpwstr>1049-11.2.0.11537</vt:lpwstr>
  </property>
</Properties>
</file>