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4678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ПРИЛОЖЕНИЕ № 1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к </w:t>
      </w:r>
      <w:r>
        <w:rPr>
          <w:sz w:val="28"/>
          <w:szCs w:val="28"/>
        </w:rPr>
        <w:t xml:space="preserve">постановлению Правительства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  <w:t xml:space="preserve">Новосибирской области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/>
        <w:jc w:val="center"/>
        <w:widowControl w:val="off"/>
        <w:rPr>
          <w:sz w:val="28"/>
          <w:szCs w:val="28"/>
          <w14:ligatures w14:val="none"/>
        </w:rPr>
      </w:pPr>
      <w:r>
        <w:rPr>
          <w:sz w:val="28"/>
          <w:szCs w:val="28"/>
        </w:rPr>
      </w:r>
      <w:r>
        <w:rPr>
          <w:rFonts w:ascii="Times New Roman" w:hAnsi="Times New Roman" w:cs="Times New Roman"/>
          <w:b w:val="0"/>
          <w:sz w:val="28"/>
        </w:rPr>
        <w:t xml:space="preserve">от_____________№______</w:t>
      </w:r>
      <w:r>
        <w:rPr>
          <w:sz w:val="28"/>
          <w:szCs w:val="28"/>
        </w:rPr>
      </w:r>
      <w:r>
        <w:rPr>
          <w:sz w:val="28"/>
          <w:szCs w:val="28"/>
          <w14:ligatures w14:val="none"/>
        </w:rPr>
      </w:r>
    </w:p>
    <w:p>
      <w:pPr>
        <w:ind w:left="4678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jc w:val="center"/>
        <w:widowControl w:val="off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«ПРИЛОЖЕНИЕ № 1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ind w:left="46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к региональной программе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«Развитие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детско-юношеского спорта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в Новосибирской области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4678"/>
        <w:jc w:val="center"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до 2030 года»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Показатели (индикаторы) оценки результатов реализации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региональной программы Новосибирской области «Развитие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детско-юношеского спорта в Новосибирской области до 2030 года»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tbl>
      <w:tblPr>
        <w:tblpPr w:horzAnchor="margin" w:tblpXSpec="left" w:vertAnchor="text" w:tblpY="589" w:leftFromText="180" w:topFromText="0" w:rightFromText="180" w:bottomFromText="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445"/>
        <w:gridCol w:w="2535"/>
        <w:gridCol w:w="1287"/>
        <w:gridCol w:w="661"/>
        <w:gridCol w:w="567"/>
        <w:gridCol w:w="709"/>
        <w:gridCol w:w="567"/>
        <w:gridCol w:w="567"/>
        <w:gridCol w:w="680"/>
        <w:gridCol w:w="680"/>
        <w:gridCol w:w="680"/>
        <w:gridCol w:w="759"/>
      </w:tblGrid>
      <w:tr>
        <w:tblPrEx/>
        <w:trPr>
          <w:trHeight w:val="539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№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ind w:left="-142" w:right="-127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п/п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vMerge w:val="restart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Наименование показателя (индикатора)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ind w:left="-44" w:right="-98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Единица измерения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gridSpan w:val="9"/>
            <w:tcBorders>
              <w:top w:val="single" w:color="auto" w:sz="4" w:space="0"/>
              <w:left w:val="single" w:color="auto" w:sz="4" w:space="0"/>
            </w:tcBorders>
            <w:tcW w:w="587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Значение показателя (индикатора)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bottom w:val="none" w:color="000000" w:sz="4" w:space="0"/>
              <w:right w:val="none" w:color="000000" w:sz="4" w:space="0"/>
            </w:tcBorders>
            <w:tcW w:w="445" w:type="dxa"/>
            <w:vMerge w:val="continue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2535" w:type="dxa"/>
            <w:vMerge w:val="continue"/>
            <w:textDirection w:val="lrTb"/>
            <w:noWrap w:val="false"/>
          </w:tcPr>
          <w:p>
            <w:pPr>
              <w:ind w:firstLine="567"/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none" w:color="000000" w:sz="4" w:space="0"/>
              <w:right w:val="non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ind w:firstLine="33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ind w:left="-229" w:right="-194" w:hanging="65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2022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ind w:left="-229" w:right="-194" w:hanging="65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год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229" w:right="-194" w:hanging="40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2023 год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2024год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5" w:right="-183" w:hanging="105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2025 год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8" w:right="-130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2026 год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ind w:right="-2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2027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ind w:right="-2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2028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ind w:right="-20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2029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2030 год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Доля детей, систематически занимающихся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 xml:space="preserve">физической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 xml:space="preserve">культурой</w:t>
            </w:r>
            <w:r>
              <w:rPr>
                <w:rFonts w:eastAsiaTheme="minorEastAsia"/>
                <w:spacing w:val="-14"/>
              </w:rPr>
              <w:t xml:space="preserve"> </w:t>
            </w:r>
            <w:r>
              <w:rPr>
                <w:rFonts w:eastAsiaTheme="minorEastAsia"/>
              </w:rPr>
              <w:t xml:space="preserve">и спортом, в возрасте 3–</w:t>
            </w:r>
            <w:r>
              <w:rPr>
                <w:rFonts w:eastAsiaTheme="minorEastAsia"/>
              </w:rPr>
              <w:t xml:space="preserve">17 лет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right="-62" w:hanging="144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 xml:space="preserve">процентов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50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70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</w:rPr>
              <w:t xml:space="preserve">86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ind w:left="-105" w:right="-105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86,5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87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87,5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88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88,5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  <w:spacing w:val="-5"/>
              </w:rPr>
              <w:t xml:space="preserve">90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2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jc w:val="both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Доля</w:t>
            </w:r>
            <w:r>
              <w:rPr>
                <w:rFonts w:eastAsiaTheme="minorEastAsia"/>
                <w:spacing w:val="-15"/>
              </w:rPr>
              <w:t xml:space="preserve"> </w:t>
            </w:r>
            <w:r>
              <w:rPr>
                <w:rFonts w:eastAsiaTheme="minorEastAsia"/>
              </w:rPr>
              <w:t xml:space="preserve">общеобразовательных</w:t>
            </w:r>
            <w:r>
              <w:rPr>
                <w:rFonts w:eastAsiaTheme="minorEastAsia"/>
                <w:spacing w:val="-15"/>
              </w:rPr>
              <w:t xml:space="preserve"> </w:t>
            </w:r>
            <w:r>
              <w:rPr>
                <w:rFonts w:eastAsiaTheme="minorEastAsia"/>
              </w:rPr>
              <w:t xml:space="preserve">организаций, имеющих школьный спортивный клуб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right="-62" w:hanging="144"/>
              <w:jc w:val="center"/>
              <w:widowControl w:val="off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процентов</w:t>
            </w:r>
            <w:r>
              <w:rPr>
                <w:rFonts w:eastAsiaTheme="minorEastAsia"/>
                <w:spacing w:val="-2"/>
              </w:rPr>
            </w:r>
            <w:r>
              <w:rPr>
                <w:rFonts w:eastAsiaTheme="minorEastAsia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 xml:space="preserve">100</w:t>
            </w:r>
            <w:r>
              <w:rPr>
                <w:rFonts w:eastAsiaTheme="minorEastAsia"/>
                <w:spacing w:val="-5"/>
              </w:rPr>
            </w:r>
            <w:r>
              <w:rPr>
                <w:rFonts w:eastAsiaTheme="minorEastAsia"/>
                <w:spacing w:val="-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100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100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100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100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spacing w:val="-5"/>
                <w:lang w:eastAsia="en-US"/>
              </w:rPr>
              <w:t xml:space="preserve">100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 xml:space="preserve">100</w:t>
            </w:r>
            <w:r>
              <w:rPr>
                <w:rFonts w:eastAsiaTheme="minorEastAsia"/>
                <w:spacing w:val="-5"/>
              </w:rPr>
            </w:r>
            <w:r>
              <w:rPr>
                <w:rFonts w:eastAsiaTheme="minorEastAsia"/>
                <w:spacing w:val="-5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Доля детей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с ограниченными возможностями здоровья и инвалидов, занимающихся физической культурой</w:t>
            </w:r>
            <w:r>
              <w:rPr>
                <w:spacing w:val="4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спортом,</w:t>
            </w:r>
            <w:r>
              <w:rPr>
                <w:spacing w:val="-1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от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общего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количества</w:t>
            </w:r>
            <w:r>
              <w:rPr>
                <w:spacing w:val="-2"/>
                <w:lang w:eastAsia="en-US"/>
              </w:rPr>
              <w:t xml:space="preserve"> детей, </w:t>
            </w:r>
            <w:r>
              <w:rPr>
                <w:lang w:eastAsia="en-US"/>
              </w:rPr>
              <w:t xml:space="preserve">занимающихся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физической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культурой</w:t>
            </w:r>
            <w:r>
              <w:rPr>
                <w:spacing w:val="-1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 спортом, инвалидов и лиц с ограничен</w:t>
            </w:r>
            <w:r>
              <w:rPr>
                <w:lang w:eastAsia="en-US"/>
              </w:rPr>
              <w:t xml:space="preserve">- </w:t>
            </w:r>
            <w:r>
              <w:rPr>
                <w:lang w:eastAsia="en-US"/>
              </w:rPr>
              <w:t xml:space="preserve">ными</w:t>
            </w:r>
            <w:r>
              <w:rPr>
                <w:spacing w:val="-15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возможностями</w:t>
            </w:r>
            <w:r>
              <w:rPr>
                <w:spacing w:val="-15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здоровья,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не имеющих противопоказаний для занятий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физической</w:t>
            </w:r>
            <w:r>
              <w:rPr>
                <w:spacing w:val="-12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культурой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спортом, в возрасте 6</w:t>
            </w:r>
            <w:r>
              <w:rPr>
                <w:lang w:eastAsia="en-US"/>
              </w:rPr>
              <w:t xml:space="preserve">–</w:t>
            </w:r>
            <w:r>
              <w:rPr>
                <w:lang w:eastAsia="en-US"/>
              </w:rPr>
              <w:t xml:space="preserve">17 лет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right="-62" w:hanging="144"/>
              <w:jc w:val="center"/>
              <w:widowControl w:val="off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процентов</w:t>
            </w:r>
            <w:r>
              <w:rPr>
                <w:rFonts w:eastAsiaTheme="minorEastAsia"/>
                <w:spacing w:val="-2"/>
              </w:rPr>
            </w:r>
            <w:r>
              <w:rPr>
                <w:rFonts w:eastAsiaTheme="minorEastAsia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15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5"/>
              </w:rPr>
              <w:t xml:space="preserve">32</w:t>
            </w:r>
            <w:r>
              <w:rPr>
                <w:rFonts w:eastAsiaTheme="minorEastAsia"/>
                <w:spacing w:val="-5"/>
              </w:rPr>
            </w:r>
            <w:r>
              <w:rPr>
                <w:rFonts w:eastAsiaTheme="minorEastAsia"/>
                <w:spacing w:val="-5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32,1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32,2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32,3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32,4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32,5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pacing w:val="-5"/>
              </w:rPr>
            </w:pPr>
            <w:r>
              <w:rPr>
                <w:rFonts w:eastAsiaTheme="minorEastAsia"/>
                <w:spacing w:val="-4"/>
              </w:rPr>
              <w:t xml:space="preserve">32,6</w:t>
            </w:r>
            <w:r>
              <w:rPr>
                <w:rFonts w:eastAsiaTheme="minorEastAsia"/>
                <w:spacing w:val="-5"/>
              </w:rPr>
            </w:r>
            <w:r>
              <w:rPr>
                <w:rFonts w:eastAsiaTheme="minorEastAsia"/>
                <w:spacing w:val="-5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Ежегодное поэтапное увеличение по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сравнению с 2020 годом доли детей,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о</w:t>
            </w:r>
            <w:r>
              <w:rPr>
                <w:lang w:eastAsia="en-US"/>
              </w:rPr>
              <w:t xml:space="preserve">бучающихся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highlight w:val="yellow"/>
              </w:rPr>
            </w:pPr>
            <w:r>
              <w:rPr>
                <w:lang w:eastAsia="en-US"/>
              </w:rPr>
              <w:t xml:space="preserve">по д</w:t>
            </w:r>
            <w:r>
              <w:rPr>
                <w:highlight w:val="yellow"/>
                <w:lang w:eastAsia="en-US"/>
              </w:rPr>
              <w:t xml:space="preserve">ополнительным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jc w:val="both"/>
              <w:widowControl w:val="off"/>
              <w:rPr>
                <w:highlight w:val="yellow"/>
              </w:rPr>
            </w:pPr>
            <w:r>
              <w:rPr>
                <w:highlight w:val="yellow"/>
                <w:lang w:eastAsia="en-US"/>
              </w:rPr>
              <w:t xml:space="preserve">общеобразовательным программам в</w:t>
            </w:r>
            <w:r>
              <w:rPr>
                <w:highlight w:val="yellow"/>
              </w:rPr>
            </w:r>
            <w:r>
              <w:rPr>
                <w:highlight w:val="yellow"/>
              </w:rPr>
            </w:r>
          </w:p>
          <w:p>
            <w:pPr>
              <w:widowControl w:val="off"/>
              <w:rPr>
                <w:lang w:eastAsia="en-US"/>
              </w:rPr>
            </w:pPr>
            <w:r>
              <w:rPr>
                <w:highlight w:val="yellow"/>
                <w:lang w:eastAsia="en-US"/>
              </w:rPr>
              <w:t xml:space="preserve">области физической культуры и спо</w:t>
            </w:r>
            <w:r>
              <w:rPr>
                <w:lang w:eastAsia="en-US"/>
              </w:rPr>
              <w:t xml:space="preserve">рта,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jc w:val="both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в возрасте 5</w:t>
            </w:r>
            <w:r>
              <w:rPr>
                <w:lang w:eastAsia="en-US"/>
              </w:rPr>
              <w:t xml:space="preserve">–</w:t>
            </w:r>
            <w:r>
              <w:rPr>
                <w:lang w:eastAsia="en-US"/>
              </w:rPr>
              <w:t xml:space="preserve">18 лет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hanging="2"/>
              <w:jc w:val="center"/>
              <w:widowControl w:val="off"/>
              <w:rPr>
                <w:rFonts w:eastAsiaTheme="minorEastAsia"/>
                <w:spacing w:val="-2"/>
              </w:rPr>
            </w:pPr>
            <w:r>
              <w:rPr>
                <w:rFonts w:eastAsiaTheme="minorEastAsia"/>
                <w:spacing w:val="-2"/>
              </w:rPr>
              <w:t xml:space="preserve">процентов</w:t>
            </w:r>
            <w:r>
              <w:rPr>
                <w:rFonts w:eastAsiaTheme="minorEastAsia"/>
                <w:spacing w:val="-2"/>
              </w:rPr>
            </w:r>
            <w:r>
              <w:rPr>
                <w:rFonts w:eastAsiaTheme="minorEastAsia"/>
                <w:spacing w:val="-2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7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8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10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11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Реализация образовательных программ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по направлению «Спорт» региональными центрами выявления, поддержки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 развития способностей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 талантов у детей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 молодежи, создаваемыми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с использованием опыта Образовательного Фонда </w:t>
            </w:r>
            <w:r>
              <w:rPr>
                <w:lang w:eastAsia="en-US"/>
              </w:rPr>
              <w:t xml:space="preserve">«</w:t>
            </w:r>
            <w:r>
              <w:rPr>
                <w:lang w:eastAsia="en-US"/>
              </w:rPr>
              <w:t xml:space="preserve">Талант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left="34" w:right="3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и успех»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right="-62" w:hanging="144"/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процентов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20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50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  <w:spacing w:val="-4"/>
              </w:rPr>
            </w:pPr>
            <w:r>
              <w:rPr>
                <w:rFonts w:eastAsiaTheme="minorEastAsia"/>
                <w:spacing w:val="-4"/>
              </w:rPr>
              <w:t xml:space="preserve">100</w:t>
            </w:r>
            <w:r>
              <w:rPr>
                <w:rFonts w:eastAsiaTheme="minorEastAsia"/>
                <w:spacing w:val="-4"/>
              </w:rPr>
            </w:r>
            <w:r>
              <w:rPr>
                <w:rFonts w:eastAsiaTheme="minorEastAsia"/>
                <w:spacing w:val="-4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Увеличение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по сравнению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 2020 годом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доли отечественных производителей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общем объеме рынка спортивной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продукции, в том числе для оснащения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спортивных сооружений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right="-204" w:hanging="144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  <w:spacing w:val="-2"/>
              </w:rPr>
              <w:t xml:space="preserve">  </w:t>
            </w:r>
            <w:r>
              <w:rPr>
                <w:rFonts w:eastAsiaTheme="minorEastAsia"/>
                <w:spacing w:val="-2"/>
              </w:rPr>
              <w:t xml:space="preserve">процентов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30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ind w:right="14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4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на территории Новосибирской области</w:t>
            </w:r>
            <w:r>
              <w:rPr>
                <w:spacing w:val="-5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первенств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России 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ind w:right="140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по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олимпийским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и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неолимпийским</w:t>
            </w:r>
            <w:r>
              <w:rPr>
                <w:spacing w:val="-10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видам </w:t>
            </w:r>
            <w:r>
              <w:rPr>
                <w:spacing w:val="-2"/>
                <w:lang w:eastAsia="en-US"/>
              </w:rPr>
              <w:t xml:space="preserve">спорта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left="33" w:firstLine="33"/>
              <w:widowControl w:val="off"/>
              <w:rPr>
                <w:lang w:eastAsia="en-US"/>
              </w:rPr>
            </w:pPr>
            <w:r>
              <w:rPr>
                <w:spacing w:val="-2"/>
                <w:lang w:eastAsia="en-US"/>
              </w:rPr>
              <w:t xml:space="preserve">единиц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6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6</w:t>
            </w:r>
            <w:r>
              <w:rPr>
                <w:sz w:val="22"/>
                <w:szCs w:val="22"/>
                <w:lang w:eastAsia="en-US"/>
              </w:rPr>
            </w:r>
            <w:r>
              <w:rPr>
                <w:sz w:val="22"/>
                <w:szCs w:val="22"/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7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8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Индекс физического объема инвестиций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основной капитал по виду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экономической деятельности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«Деятельность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в области спорта» 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к 2020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 xml:space="preserve">году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hanging="2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процентов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right="-249" w:hanging="108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103,6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115,5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szCs w:val="22"/>
                <w:lang w:eastAsia="en-US"/>
              </w:rPr>
              <w:t xml:space="preserve">Количество штатных работников</w:t>
            </w:r>
            <w:r>
              <w:rPr>
                <w:spacing w:val="-57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физической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культуры</w:t>
            </w:r>
            <w:r>
              <w:rPr>
                <w:spacing w:val="-2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и</w:t>
            </w:r>
            <w:r>
              <w:rPr>
                <w:spacing w:val="-1"/>
                <w:szCs w:val="22"/>
                <w:lang w:eastAsia="en-US"/>
              </w:rPr>
              <w:t xml:space="preserve"> </w:t>
            </w:r>
            <w:r>
              <w:rPr>
                <w:szCs w:val="22"/>
                <w:lang w:eastAsia="en-US"/>
              </w:rPr>
              <w:t xml:space="preserve">спорта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firstLine="33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тыс.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чел</w:t>
            </w:r>
            <w:r>
              <w:rPr>
                <w:color w:val="000000"/>
              </w:rPr>
              <w:t xml:space="preserve">.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4,0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4,1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jc w:val="center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4,2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4,2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/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ind w:right="-198" w:hanging="142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Индекс реальной заработной платы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в сфере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физической культуры и спорта к 2021 году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hanging="94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процентов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ind w:right="-249" w:hanging="108"/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>
              <w:rPr>
                <w:lang w:eastAsia="en-US"/>
              </w:rPr>
              <w:t xml:space="preserve">103,5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110,5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>
          <w:trHeight w:val="2218"/>
        </w:trPr>
        <w:tc>
          <w:tcPr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W w:w="445" w:type="dxa"/>
            <w:textDirection w:val="lrTb"/>
            <w:noWrap w:val="false"/>
          </w:tcPr>
          <w:p>
            <w:pPr>
              <w:ind w:left="-142" w:right="-198"/>
              <w:jc w:val="center"/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11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535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Ежегодное поэтапное увеличение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по сравн</w:t>
            </w:r>
            <w:bookmarkStart w:id="0" w:name="_GoBack"/>
            <w:r/>
            <w:bookmarkEnd w:id="0"/>
            <w:r>
              <w:rPr>
                <w:color w:val="000000"/>
              </w:rPr>
              <w:t xml:space="preserve">ению 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с 2022 годом доли организаций, интегрированных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  <w:p>
            <w:pPr>
              <w:widowControl w:val="off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в единую цифровую среду </w:t>
            </w: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287" w:type="dxa"/>
            <w:textDirection w:val="lrTb"/>
            <w:noWrap w:val="false"/>
          </w:tcPr>
          <w:p>
            <w:pPr>
              <w:ind w:hanging="94"/>
              <w:jc w:val="center"/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процентов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661" w:type="dxa"/>
            <w:textDirection w:val="lrTb"/>
            <w:noWrap w:val="false"/>
          </w:tcPr>
          <w:p>
            <w:pPr>
              <w:widowControl w:val="off"/>
              <w:rPr>
                <w:color w:val="000000"/>
              </w:rPr>
            </w:pPr>
            <w:r>
              <w:rPr>
                <w:color w:val="000000"/>
              </w:rPr>
              <w:t xml:space="preserve">50</w:t>
            </w:r>
            <w:r>
              <w:rPr>
                <w:color w:val="000000"/>
              </w:rPr>
            </w:r>
            <w:r>
              <w:rPr>
                <w:color w:val="000000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55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9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60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65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567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70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75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80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680" w:type="dxa"/>
            <w:textDirection w:val="lrTb"/>
            <w:noWrap w:val="false"/>
          </w:tcPr>
          <w:p>
            <w:pPr>
              <w:widowControl w:val="off"/>
              <w:rPr>
                <w:lang w:eastAsia="en-US"/>
              </w:rPr>
            </w:pPr>
            <w:r>
              <w:rPr>
                <w:lang w:eastAsia="en-US"/>
              </w:rPr>
              <w:t xml:space="preserve">85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W w:w="759" w:type="dxa"/>
            <w:textDirection w:val="lrTb"/>
            <w:noWrap w:val="false"/>
          </w:tcPr>
          <w:p>
            <w:pPr>
              <w:widowControl w:val="off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90</w:t>
            </w:r>
            <w:r>
              <w:rPr>
                <w:rFonts w:eastAsiaTheme="minorEastAsia"/>
              </w:rPr>
            </w:r>
            <w:r>
              <w:rPr>
                <w:rFonts w:eastAsiaTheme="minorEastAsia"/>
              </w:rPr>
            </w:r>
          </w:p>
        </w:tc>
      </w:tr>
      <w:tr>
        <w:tblPrEx/>
        <w:trPr>
          <w:trHeight w:val="1359"/>
        </w:trPr>
        <w:tc>
          <w:tcPr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ind w:left="-142" w:right="-198"/>
              <w:jc w:val="center"/>
              <w:widowControl w:val="off"/>
              <w:rPr>
                <w:rFonts w:eastAsiaTheme="minorEastAsia"/>
                <w:highlight w:val="green"/>
              </w:rPr>
            </w:pPr>
            <w:r>
              <w:rPr>
                <w:rFonts w:eastAsiaTheme="minorEastAsia"/>
                <w:highlight w:val="green"/>
              </w:rPr>
              <w:t xml:space="preserve">12</w:t>
            </w:r>
            <w:r>
              <w:rPr>
                <w:rFonts w:eastAsiaTheme="minorEastAsia"/>
                <w:highlight w:val="green"/>
              </w:rPr>
            </w:r>
            <w:r>
              <w:rPr>
                <w:rFonts w:eastAsiaTheme="minorEastAsia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35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color w:val="000000"/>
                <w:highlight w:val="green"/>
              </w:rPr>
            </w:pPr>
            <w:r>
              <w:rPr>
                <w:color w:val="000000"/>
                <w:highlight w:val="green"/>
              </w:rPr>
              <w:t xml:space="preserve">Доля детей в</w:t>
            </w:r>
            <w:r>
              <w:rPr>
                <w:highlight w:val="green"/>
                <w:lang w:eastAsia="en-US"/>
              </w:rPr>
              <w:t xml:space="preserve"> возрасте 5</w:t>
            </w:r>
            <w:r>
              <w:rPr>
                <w:highlight w:val="green"/>
                <w:lang w:eastAsia="en-US"/>
              </w:rPr>
              <w:t xml:space="preserve">–</w:t>
            </w:r>
            <w:r>
              <w:rPr>
                <w:highlight w:val="green"/>
                <w:lang w:eastAsia="en-US"/>
              </w:rPr>
              <w:t xml:space="preserve">18 лет, занимающихся физической культурой и спортом на безвозмездной основе</w:t>
            </w:r>
            <w:r>
              <w:rPr>
                <w:color w:val="000000"/>
                <w:highlight w:val="green"/>
              </w:rPr>
            </w:r>
            <w:r>
              <w:rPr>
                <w:color w:val="000000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ind w:hanging="2"/>
              <w:jc w:val="center"/>
              <w:widowControl w:val="off"/>
              <w:rPr>
                <w:rFonts w:eastAsiaTheme="minorEastAsia"/>
                <w:spacing w:val="-2"/>
                <w:highlight w:val="green"/>
              </w:rPr>
            </w:pPr>
            <w:r>
              <w:rPr>
                <w:rFonts w:eastAsiaTheme="minorEastAsia"/>
                <w:spacing w:val="-2"/>
                <w:highlight w:val="green"/>
              </w:rPr>
              <w:t xml:space="preserve">процентов</w:t>
            </w:r>
            <w:r>
              <w:rPr>
                <w:rFonts w:eastAsiaTheme="minorEastAsia"/>
                <w:spacing w:val="-2"/>
                <w:highlight w:val="green"/>
              </w:rPr>
            </w:r>
            <w:r>
              <w:rPr>
                <w:rFonts w:eastAsiaTheme="minorEastAsia"/>
                <w:spacing w:val="-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1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2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3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5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6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67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7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8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10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680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11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759" w:type="dxa"/>
            <w:vMerge w:val="restart"/>
            <w:textDirection w:val="lrTb"/>
            <w:noWrap w:val="false"/>
          </w:tcPr>
          <w:p>
            <w:pPr>
              <w:widowControl w:val="off"/>
              <w:rPr>
                <w:sz w:val="22"/>
                <w:szCs w:val="22"/>
                <w:highlight w:val="green"/>
              </w:rPr>
            </w:pPr>
            <w:r>
              <w:rPr>
                <w:sz w:val="22"/>
                <w:szCs w:val="22"/>
                <w:highlight w:val="green"/>
                <w:lang w:eastAsia="en-US"/>
              </w:rPr>
              <w:t xml:space="preserve">12</w:t>
            </w:r>
            <w:r>
              <w:rPr>
                <w:sz w:val="22"/>
                <w:szCs w:val="22"/>
                <w:highlight w:val="green"/>
              </w:rPr>
            </w:r>
            <w:r>
              <w:rPr>
                <w:sz w:val="22"/>
                <w:szCs w:val="22"/>
                <w:highlight w:val="green"/>
              </w:rPr>
            </w:r>
          </w:p>
        </w:tc>
      </w:tr>
    </w:tbl>
    <w:p>
      <w:pPr>
        <w:jc w:val="right"/>
        <w:widowControl w:val="off"/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  <w:t xml:space="preserve">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highlight w:val="none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  <w:t xml:space="preserve">_________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center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left"/>
        <w:widowControl w:val="off"/>
        <w:tabs>
          <w:tab w:val="left" w:pos="14570" w:leader="none"/>
        </w:tabs>
        <w:rPr>
          <w:sz w:val="28"/>
          <w:szCs w:val="28"/>
          <w:lang w:eastAsia="en-US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-376087972"/>
      <w:docPartObj>
        <w:docPartGallery w:val="Page Numbers (Top of Page)"/>
        <w:docPartUnique w:val="true"/>
      </w:docPartObj>
      <w:rPr>
        <w:sz w:val="20"/>
        <w:szCs w:val="20"/>
      </w:rPr>
    </w:sdtPr>
    <w:sdtContent>
      <w:p>
        <w:pPr>
          <w:pStyle w:val="858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PAGE   \* MERGEFORMAT</w:instrText>
        </w:r>
        <w:r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 xml:space="preserve">3</w:t>
        </w:r>
        <w:r>
          <w:rPr>
            <w:sz w:val="20"/>
            <w:szCs w:val="20"/>
          </w:rPr>
          <w:fldChar w:fldCharType="end"/>
        </w:r>
        <w:r>
          <w:rPr>
            <w:sz w:val="20"/>
            <w:szCs w:val="20"/>
          </w:rPr>
        </w:r>
        <w:r>
          <w:rPr>
            <w:sz w:val="20"/>
            <w:szCs w:val="20"/>
          </w:rPr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08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80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2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4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6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8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40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8">
    <w:name w:val="Heading 1"/>
    <w:basedOn w:val="854"/>
    <w:next w:val="854"/>
    <w:link w:val="67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9">
    <w:name w:val="Heading 1 Char"/>
    <w:basedOn w:val="855"/>
    <w:link w:val="678"/>
    <w:uiPriority w:val="9"/>
    <w:rPr>
      <w:rFonts w:ascii="Arial" w:hAnsi="Arial" w:eastAsia="Arial" w:cs="Arial"/>
      <w:sz w:val="40"/>
      <w:szCs w:val="40"/>
    </w:rPr>
  </w:style>
  <w:style w:type="paragraph" w:styleId="680">
    <w:name w:val="Heading 2"/>
    <w:basedOn w:val="854"/>
    <w:next w:val="854"/>
    <w:link w:val="68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1">
    <w:name w:val="Heading 2 Char"/>
    <w:basedOn w:val="855"/>
    <w:link w:val="680"/>
    <w:uiPriority w:val="9"/>
    <w:rPr>
      <w:rFonts w:ascii="Arial" w:hAnsi="Arial" w:eastAsia="Arial" w:cs="Arial"/>
      <w:sz w:val="34"/>
    </w:rPr>
  </w:style>
  <w:style w:type="paragraph" w:styleId="682">
    <w:name w:val="Heading 3"/>
    <w:basedOn w:val="854"/>
    <w:next w:val="854"/>
    <w:link w:val="68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3">
    <w:name w:val="Heading 3 Char"/>
    <w:basedOn w:val="855"/>
    <w:link w:val="682"/>
    <w:uiPriority w:val="9"/>
    <w:rPr>
      <w:rFonts w:ascii="Arial" w:hAnsi="Arial" w:eastAsia="Arial" w:cs="Arial"/>
      <w:sz w:val="30"/>
      <w:szCs w:val="30"/>
    </w:rPr>
  </w:style>
  <w:style w:type="paragraph" w:styleId="684">
    <w:name w:val="Heading 4"/>
    <w:basedOn w:val="854"/>
    <w:next w:val="854"/>
    <w:link w:val="68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5">
    <w:name w:val="Heading 4 Char"/>
    <w:basedOn w:val="855"/>
    <w:link w:val="684"/>
    <w:uiPriority w:val="9"/>
    <w:rPr>
      <w:rFonts w:ascii="Arial" w:hAnsi="Arial" w:eastAsia="Arial" w:cs="Arial"/>
      <w:b/>
      <w:bCs/>
      <w:sz w:val="26"/>
      <w:szCs w:val="26"/>
    </w:rPr>
  </w:style>
  <w:style w:type="paragraph" w:styleId="686">
    <w:name w:val="Heading 5"/>
    <w:basedOn w:val="854"/>
    <w:next w:val="854"/>
    <w:link w:val="68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7">
    <w:name w:val="Heading 5 Char"/>
    <w:basedOn w:val="855"/>
    <w:link w:val="686"/>
    <w:uiPriority w:val="9"/>
    <w:rPr>
      <w:rFonts w:ascii="Arial" w:hAnsi="Arial" w:eastAsia="Arial" w:cs="Arial"/>
      <w:b/>
      <w:bCs/>
      <w:sz w:val="24"/>
      <w:szCs w:val="24"/>
    </w:rPr>
  </w:style>
  <w:style w:type="paragraph" w:styleId="688">
    <w:name w:val="Heading 6"/>
    <w:basedOn w:val="854"/>
    <w:next w:val="854"/>
    <w:link w:val="68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9">
    <w:name w:val="Heading 6 Char"/>
    <w:basedOn w:val="855"/>
    <w:link w:val="688"/>
    <w:uiPriority w:val="9"/>
    <w:rPr>
      <w:rFonts w:ascii="Arial" w:hAnsi="Arial" w:eastAsia="Arial" w:cs="Arial"/>
      <w:b/>
      <w:bCs/>
      <w:sz w:val="22"/>
      <w:szCs w:val="22"/>
    </w:rPr>
  </w:style>
  <w:style w:type="paragraph" w:styleId="690">
    <w:name w:val="Heading 7"/>
    <w:basedOn w:val="854"/>
    <w:next w:val="854"/>
    <w:link w:val="69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1">
    <w:name w:val="Heading 7 Char"/>
    <w:basedOn w:val="855"/>
    <w:link w:val="69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2">
    <w:name w:val="Heading 8"/>
    <w:basedOn w:val="854"/>
    <w:next w:val="854"/>
    <w:link w:val="69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3">
    <w:name w:val="Heading 8 Char"/>
    <w:basedOn w:val="855"/>
    <w:link w:val="692"/>
    <w:uiPriority w:val="9"/>
    <w:rPr>
      <w:rFonts w:ascii="Arial" w:hAnsi="Arial" w:eastAsia="Arial" w:cs="Arial"/>
      <w:i/>
      <w:iCs/>
      <w:sz w:val="22"/>
      <w:szCs w:val="22"/>
    </w:rPr>
  </w:style>
  <w:style w:type="paragraph" w:styleId="694">
    <w:name w:val="Heading 9"/>
    <w:basedOn w:val="854"/>
    <w:next w:val="854"/>
    <w:link w:val="69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5">
    <w:name w:val="Heading 9 Char"/>
    <w:basedOn w:val="855"/>
    <w:link w:val="694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List Paragraph"/>
    <w:basedOn w:val="854"/>
    <w:uiPriority w:val="34"/>
    <w:qFormat/>
    <w:pPr>
      <w:contextualSpacing/>
      <w:ind w:left="720"/>
    </w:pPr>
  </w:style>
  <w:style w:type="paragraph" w:styleId="697">
    <w:name w:val="No Spacing"/>
    <w:uiPriority w:val="1"/>
    <w:qFormat/>
    <w:pPr>
      <w:spacing w:before="0" w:after="0" w:line="240" w:lineRule="auto"/>
    </w:pPr>
  </w:style>
  <w:style w:type="paragraph" w:styleId="698">
    <w:name w:val="Title"/>
    <w:basedOn w:val="854"/>
    <w:next w:val="854"/>
    <w:link w:val="69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9">
    <w:name w:val="Title Char"/>
    <w:basedOn w:val="855"/>
    <w:link w:val="698"/>
    <w:uiPriority w:val="10"/>
    <w:rPr>
      <w:sz w:val="48"/>
      <w:szCs w:val="48"/>
    </w:rPr>
  </w:style>
  <w:style w:type="paragraph" w:styleId="700">
    <w:name w:val="Subtitle"/>
    <w:basedOn w:val="854"/>
    <w:next w:val="854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5"/>
    <w:link w:val="700"/>
    <w:uiPriority w:val="11"/>
    <w:rPr>
      <w:sz w:val="24"/>
      <w:szCs w:val="24"/>
    </w:rPr>
  </w:style>
  <w:style w:type="paragraph" w:styleId="702">
    <w:name w:val="Quote"/>
    <w:basedOn w:val="854"/>
    <w:next w:val="854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4"/>
    <w:next w:val="854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5"/>
    <w:link w:val="858"/>
    <w:uiPriority w:val="99"/>
  </w:style>
  <w:style w:type="character" w:styleId="707">
    <w:name w:val="Footer Char"/>
    <w:basedOn w:val="855"/>
    <w:link w:val="860"/>
    <w:uiPriority w:val="99"/>
  </w:style>
  <w:style w:type="paragraph" w:styleId="708">
    <w:name w:val="Caption"/>
    <w:basedOn w:val="854"/>
    <w:next w:val="854"/>
    <w:link w:val="70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855"/>
    <w:link w:val="708"/>
    <w:uiPriority w:val="35"/>
    <w:rPr>
      <w:b/>
      <w:bCs/>
      <w:color w:val="4f81bd" w:themeColor="accent1"/>
      <w:sz w:val="18"/>
      <w:szCs w:val="18"/>
    </w:rPr>
  </w:style>
  <w:style w:type="table" w:styleId="710">
    <w:name w:val="Table Grid"/>
    <w:basedOn w:val="8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Table Grid Light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2">
    <w:name w:val="Plain Table 1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2"/>
    <w:basedOn w:val="8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4">
    <w:name w:val="Plain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5">
    <w:name w:val="Plain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Plain Table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7">
    <w:name w:val="Grid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9">
    <w:name w:val="Grid Table 4 - Accent 1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0">
    <w:name w:val="Grid Table 4 - Accent 2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1">
    <w:name w:val="Grid Table 4 - Accent 3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2">
    <w:name w:val="Grid Table 4 - Accent 4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3">
    <w:name w:val="Grid Table 4 - Accent 5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4">
    <w:name w:val="Grid Table 4 - Accent 6"/>
    <w:basedOn w:val="8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5">
    <w:name w:val="Grid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6">
    <w:name w:val="Grid Table 5 Dark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9">
    <w:name w:val="Grid Table 5 Dark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1">
    <w:name w:val="Grid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2">
    <w:name w:val="Grid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3">
    <w:name w:val="Grid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4">
    <w:name w:val="Grid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5">
    <w:name w:val="Grid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6">
    <w:name w:val="Grid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7">
    <w:name w:val="Grid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9">
    <w:name w:val="Grid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4">
    <w:name w:val="List Table 2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5">
    <w:name w:val="List Table 2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6">
    <w:name w:val="List Table 2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7">
    <w:name w:val="List Table 2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8">
    <w:name w:val="List Table 2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9">
    <w:name w:val="List Table 2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0">
    <w:name w:val="List Table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3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5 Dark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5 Dark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6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2">
    <w:name w:val="List Table 6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3">
    <w:name w:val="List Table 6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4">
    <w:name w:val="List Table 6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5">
    <w:name w:val="List Table 6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6">
    <w:name w:val="List Table 6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7">
    <w:name w:val="List Table 6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8">
    <w:name w:val="List Table 7 Colorful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9">
    <w:name w:val="List Table 7 Colorful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0">
    <w:name w:val="List Table 7 Colorful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1">
    <w:name w:val="List Table 7 Colorful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2">
    <w:name w:val="List Table 7 Colorful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3">
    <w:name w:val="List Table 7 Colorful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4">
    <w:name w:val="List Table 7 Colorful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5">
    <w:name w:val="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6">
    <w:name w:val="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7">
    <w:name w:val="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8">
    <w:name w:val="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9">
    <w:name w:val="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0">
    <w:name w:val="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1">
    <w:name w:val="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2">
    <w:name w:val="Bordered &amp; Lined - Accent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3">
    <w:name w:val="Bordered &amp; Lined - Accent 1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4">
    <w:name w:val="Bordered &amp; Lined - Accent 2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5">
    <w:name w:val="Bordered &amp; Lined - Accent 3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6">
    <w:name w:val="Bordered &amp; Lined - Accent 4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7">
    <w:name w:val="Bordered &amp; Lined - Accent 5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8">
    <w:name w:val="Bordered &amp; Lined - Accent 6"/>
    <w:basedOn w:val="8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9">
    <w:name w:val="Bordered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0">
    <w:name w:val="Bordered - Accent 1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1">
    <w:name w:val="Bordered - Accent 2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2">
    <w:name w:val="Bordered - Accent 3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3">
    <w:name w:val="Bordered - Accent 4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4">
    <w:name w:val="Bordered - Accent 5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5">
    <w:name w:val="Bordered - Accent 6"/>
    <w:basedOn w:val="8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6">
    <w:name w:val="Hyperlink"/>
    <w:uiPriority w:val="99"/>
    <w:unhideWhenUsed/>
    <w:rPr>
      <w:color w:val="0000ff" w:themeColor="hyperlink"/>
      <w:u w:val="single"/>
    </w:rPr>
  </w:style>
  <w:style w:type="paragraph" w:styleId="837">
    <w:name w:val="footnote text"/>
    <w:basedOn w:val="854"/>
    <w:link w:val="838"/>
    <w:uiPriority w:val="99"/>
    <w:semiHidden/>
    <w:unhideWhenUsed/>
    <w:pPr>
      <w:spacing w:after="40" w:line="240" w:lineRule="auto"/>
    </w:pPr>
    <w:rPr>
      <w:sz w:val="18"/>
    </w:rPr>
  </w:style>
  <w:style w:type="character" w:styleId="838">
    <w:name w:val="Footnote Text Char"/>
    <w:link w:val="837"/>
    <w:uiPriority w:val="99"/>
    <w:rPr>
      <w:sz w:val="18"/>
    </w:rPr>
  </w:style>
  <w:style w:type="character" w:styleId="839">
    <w:name w:val="footnote reference"/>
    <w:basedOn w:val="855"/>
    <w:uiPriority w:val="99"/>
    <w:unhideWhenUsed/>
    <w:rPr>
      <w:vertAlign w:val="superscript"/>
    </w:rPr>
  </w:style>
  <w:style w:type="paragraph" w:styleId="840">
    <w:name w:val="endnote text"/>
    <w:basedOn w:val="854"/>
    <w:link w:val="841"/>
    <w:uiPriority w:val="99"/>
    <w:semiHidden/>
    <w:unhideWhenUsed/>
    <w:pPr>
      <w:spacing w:after="0" w:line="240" w:lineRule="auto"/>
    </w:pPr>
    <w:rPr>
      <w:sz w:val="20"/>
    </w:rPr>
  </w:style>
  <w:style w:type="character" w:styleId="841">
    <w:name w:val="Endnote Text Char"/>
    <w:link w:val="840"/>
    <w:uiPriority w:val="99"/>
    <w:rPr>
      <w:sz w:val="20"/>
    </w:rPr>
  </w:style>
  <w:style w:type="character" w:styleId="842">
    <w:name w:val="endnote reference"/>
    <w:basedOn w:val="855"/>
    <w:uiPriority w:val="99"/>
    <w:semiHidden/>
    <w:unhideWhenUsed/>
    <w:rPr>
      <w:vertAlign w:val="superscript"/>
    </w:rPr>
  </w:style>
  <w:style w:type="paragraph" w:styleId="843">
    <w:name w:val="toc 1"/>
    <w:basedOn w:val="854"/>
    <w:next w:val="854"/>
    <w:uiPriority w:val="39"/>
    <w:unhideWhenUsed/>
    <w:pPr>
      <w:ind w:left="0" w:right="0" w:firstLine="0"/>
      <w:spacing w:after="57"/>
    </w:pPr>
  </w:style>
  <w:style w:type="paragraph" w:styleId="844">
    <w:name w:val="toc 2"/>
    <w:basedOn w:val="854"/>
    <w:next w:val="854"/>
    <w:uiPriority w:val="39"/>
    <w:unhideWhenUsed/>
    <w:pPr>
      <w:ind w:left="283" w:right="0" w:firstLine="0"/>
      <w:spacing w:after="57"/>
    </w:pPr>
  </w:style>
  <w:style w:type="paragraph" w:styleId="845">
    <w:name w:val="toc 3"/>
    <w:basedOn w:val="854"/>
    <w:next w:val="854"/>
    <w:uiPriority w:val="39"/>
    <w:unhideWhenUsed/>
    <w:pPr>
      <w:ind w:left="567" w:right="0" w:firstLine="0"/>
      <w:spacing w:after="57"/>
    </w:pPr>
  </w:style>
  <w:style w:type="paragraph" w:styleId="846">
    <w:name w:val="toc 4"/>
    <w:basedOn w:val="854"/>
    <w:next w:val="854"/>
    <w:uiPriority w:val="39"/>
    <w:unhideWhenUsed/>
    <w:pPr>
      <w:ind w:left="850" w:right="0" w:firstLine="0"/>
      <w:spacing w:after="57"/>
    </w:pPr>
  </w:style>
  <w:style w:type="paragraph" w:styleId="847">
    <w:name w:val="toc 5"/>
    <w:basedOn w:val="854"/>
    <w:next w:val="854"/>
    <w:uiPriority w:val="39"/>
    <w:unhideWhenUsed/>
    <w:pPr>
      <w:ind w:left="1134" w:right="0" w:firstLine="0"/>
      <w:spacing w:after="57"/>
    </w:pPr>
  </w:style>
  <w:style w:type="paragraph" w:styleId="848">
    <w:name w:val="toc 6"/>
    <w:basedOn w:val="854"/>
    <w:next w:val="854"/>
    <w:uiPriority w:val="39"/>
    <w:unhideWhenUsed/>
    <w:pPr>
      <w:ind w:left="1417" w:right="0" w:firstLine="0"/>
      <w:spacing w:after="57"/>
    </w:pPr>
  </w:style>
  <w:style w:type="paragraph" w:styleId="849">
    <w:name w:val="toc 7"/>
    <w:basedOn w:val="854"/>
    <w:next w:val="854"/>
    <w:uiPriority w:val="39"/>
    <w:unhideWhenUsed/>
    <w:pPr>
      <w:ind w:left="1701" w:right="0" w:firstLine="0"/>
      <w:spacing w:after="57"/>
    </w:pPr>
  </w:style>
  <w:style w:type="paragraph" w:styleId="850">
    <w:name w:val="toc 8"/>
    <w:basedOn w:val="854"/>
    <w:next w:val="854"/>
    <w:uiPriority w:val="39"/>
    <w:unhideWhenUsed/>
    <w:pPr>
      <w:ind w:left="1984" w:right="0" w:firstLine="0"/>
      <w:spacing w:after="57"/>
    </w:pPr>
  </w:style>
  <w:style w:type="paragraph" w:styleId="851">
    <w:name w:val="toc 9"/>
    <w:basedOn w:val="854"/>
    <w:next w:val="854"/>
    <w:uiPriority w:val="39"/>
    <w:unhideWhenUsed/>
    <w:pPr>
      <w:ind w:left="2268" w:right="0" w:firstLine="0"/>
      <w:spacing w:after="57"/>
    </w:pPr>
  </w:style>
  <w:style w:type="paragraph" w:styleId="852">
    <w:name w:val="TOC Heading"/>
    <w:uiPriority w:val="39"/>
    <w:unhideWhenUsed/>
  </w:style>
  <w:style w:type="paragraph" w:styleId="853">
    <w:name w:val="table of figures"/>
    <w:basedOn w:val="854"/>
    <w:next w:val="854"/>
    <w:uiPriority w:val="99"/>
    <w:unhideWhenUsed/>
    <w:pPr>
      <w:spacing w:after="0" w:afterAutospacing="0"/>
    </w:pPr>
  </w:style>
  <w:style w:type="paragraph" w:styleId="85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55" w:default="1">
    <w:name w:val="Default Paragraph Font"/>
    <w:uiPriority w:val="1"/>
    <w:semiHidden/>
    <w:unhideWhenUsed/>
  </w:style>
  <w:style w:type="table" w:styleId="8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7" w:default="1">
    <w:name w:val="No List"/>
    <w:uiPriority w:val="99"/>
    <w:semiHidden/>
    <w:unhideWhenUsed/>
  </w:style>
  <w:style w:type="paragraph" w:styleId="858">
    <w:name w:val="Header"/>
    <w:basedOn w:val="854"/>
    <w:link w:val="85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59" w:customStyle="1">
    <w:name w:val="Верхний колонтитул Знак"/>
    <w:basedOn w:val="855"/>
    <w:link w:val="858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0">
    <w:name w:val="Footer"/>
    <w:basedOn w:val="854"/>
    <w:link w:val="86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5"/>
    <w:link w:val="860"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62" w:customStyle="1">
    <w:name w:val="ConsPlusTitle"/>
    <w:uiPriority w:val="99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Calibri" w:cs="Arial"/>
      <w:b/>
      <w:bCs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2022-04-22T08:45:00Z</dcterms:created>
  <dcterms:modified xsi:type="dcterms:W3CDTF">2025-04-16T08:23:28Z</dcterms:modified>
</cp:coreProperties>
</file>