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2"/>
        <w:ind w:firstLine="7797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Проект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2"/>
        <w:jc w:val="right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постановления</w:t>
      </w:r>
      <w:r>
        <w:rPr>
          <w:rFonts w:ascii="Times New Roman" w:hAnsi="Times New Roman"/>
          <w:sz w:val="28"/>
          <w:szCs w:val="28"/>
          <w:highlight w:val="white"/>
        </w:rPr>
        <w:t xml:space="preserve"> Правительства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2"/>
        <w:ind w:firstLine="6663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6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6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6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2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 внесении изменени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й в постановление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2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Правительства Новосибирской области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02.08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.20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10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8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0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-п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2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2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Правительство Новосибирской области 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п о с т а н о в л я е т: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2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Внести в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instrText xml:space="preserve">HYPERLINK consultantplus://offline/ref=3563429628022DCE612ECDC179EE96E27E296DAF5E3F9730AD282A1DEC637284C8D40453BE7FDD39C7B75787C160F87DB3E3FCF </w:instrTex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fldChar w:fldCharType="separate"/>
      </w:r>
      <w:r>
        <w:rPr>
          <w:rStyle w:val="865"/>
          <w:rFonts w:ascii="Times New Roman" w:hAnsi="Times New Roman"/>
          <w:color w:val="000000"/>
          <w:sz w:val="28"/>
          <w:szCs w:val="28"/>
          <w:highlight w:val="white"/>
          <w:u w:val="none"/>
          <w:lang w:eastAsia="ru-RU"/>
        </w:rPr>
        <w:t xml:space="preserve">постановление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Правительства Новосибирской области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от 02.08.2010 № 80-п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 Порядке предоставления денежных пособ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ий лицам, ставшим инвалидами вследствие ранения, контузии или увечья, полученных при исполнении обязанностей военной службы, службы в войсках национальной гвардии Российской Федерации в ходе боевых действий, членам семей погибших участников боевых действий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следующ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ие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изменени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я: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1. Наименование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изложить в следующей редакции: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«О П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орядке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пред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оставления денежных пособий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лицам из числа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граждан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уволенны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х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с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военной службы, граждан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, имеющи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х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специальные звания полиции, уволенны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х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со службы в войсках национальной гвардии Российской Федерации, 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участник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ов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специальной военной операции, ставши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м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инвалидами вследствие </w:t>
      </w:r>
      <w:r>
        <w:rPr>
          <w:rFonts w:ascii="Times New Roman" w:hAnsi="Times New Roman" w:eastAsia="Calibri"/>
          <w:sz w:val="28"/>
          <w:szCs w:val="28"/>
          <w:highlight w:val="white"/>
          <w:lang w:eastAsia="zh-CN"/>
        </w:rPr>
        <w:t xml:space="preserve">ранения, контузии, увечья или заболевания, полученных в ходе боевых действий,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и членам семей погибших участников боевых действий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».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2. В преамбуле слова «статьей 9» заменить словами «статьями 5, 9».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3. Пункт 1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изложить в следующей редакции: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«1. Утвердить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прилагаемый Порядок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пред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оставления денежных пособий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лицам из числа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граждан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zh-CN"/>
        </w:rPr>
        <w:t xml:space="preserve">уволенны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zh-CN"/>
        </w:rPr>
        <w:t xml:space="preserve">х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zh-CN"/>
        </w:rPr>
        <w:t xml:space="preserve"> с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zh-CN"/>
        </w:rPr>
        <w:t xml:space="preserve"> военной службы, граждан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zh-CN"/>
        </w:rPr>
        <w:t xml:space="preserve">, имеющи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zh-CN"/>
        </w:rPr>
        <w:t xml:space="preserve">х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zh-CN"/>
        </w:rPr>
        <w:t xml:space="preserve"> специальные звания полиции, уволенны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zh-CN"/>
        </w:rPr>
        <w:t xml:space="preserve">х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zh-CN"/>
        </w:rPr>
        <w:t xml:space="preserve"> со службы в войсках национальной гвардии Российской Федерации,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zh-CN"/>
        </w:rPr>
        <w:t xml:space="preserve">участник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zh-CN"/>
        </w:rPr>
        <w:t xml:space="preserve">ов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zh-CN"/>
        </w:rPr>
        <w:t xml:space="preserve"> специальной военной операции, ставши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zh-CN"/>
        </w:rPr>
        <w:t xml:space="preserve">м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zh-CN"/>
        </w:rPr>
        <w:t xml:space="preserve"> инвалидами вследствие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ранения, контузии, увечья или заболевания, полученных в ходе боевых действий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,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zh-CN"/>
        </w:rPr>
        <w:t xml:space="preserve"> и членам семей погибших участников боевых действий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4. Подпункты 1, 2 пункта 2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«1)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организовать назначение и выплату ежемесячных и единовременных денежных пособий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лицам из числа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граждан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уволенны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х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с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военной службы, граждан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, имеющи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х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специальные звания полиции, уволенны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х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со службы в войсках национальной гвардии Российской Федерации, 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участник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ов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специальной военной операции, ставши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м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инвалидами вследствие </w:t>
      </w:r>
      <w:r>
        <w:rPr>
          <w:rFonts w:ascii="Times New Roman" w:hAnsi="Times New Roman" w:eastAsia="Calibri"/>
          <w:sz w:val="28"/>
          <w:szCs w:val="28"/>
          <w:highlight w:val="white"/>
          <w:lang w:eastAsia="zh-CN"/>
        </w:rPr>
        <w:t xml:space="preserve">ранения, контузии, увечья или заболевания, полученных в ходе боевых действий,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и членам семей погибших участников боевых действий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  <w:t xml:space="preserve">согласно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прилагаемому Порядку;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2) ежегодно при подготовке предложений по формированию областного бюджета Новосибирской области предусматривать денежные средства, необходимые для выплаты денежных пособий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лицам из числа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граждан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уволенны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х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с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военной службы, граждан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, имеющи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х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специальные звания полиции, уволенны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х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со службы в войсках национальной гвардии Российской Федерации, 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участник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ов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специальной военной операции, ставши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м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инвалидами вследствие </w:t>
      </w:r>
      <w:r>
        <w:rPr>
          <w:rFonts w:ascii="Times New Roman" w:hAnsi="Times New Roman" w:eastAsia="Calibri"/>
          <w:sz w:val="28"/>
          <w:szCs w:val="28"/>
          <w:highlight w:val="white"/>
          <w:lang w:eastAsia="zh-CN"/>
        </w:rPr>
        <w:t xml:space="preserve">ранения, контузии, увечья или заболевания, полученных в ходе боевых действий,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и членам семей погибших участников боевых действий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  <w:t xml:space="preserve">и оплаты 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  <w:t xml:space="preserve">услуг доставки данных денежных выплат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  <w:t xml:space="preserve">».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5. В пункте 3 слова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«Нелюбова С.А.» заменить словами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Хальзова К.В.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6. 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Порядке предоставления денежных пособий лицам, ставшим инвалидами вследствие ранения, контузии или увечья, полученных при исполнении обязанностей военной службы, службы в войсках национальной гвардии Российской Федерации в ходе боевых действий (далее </w:t>
      </w:r>
      <w:r>
        <w:rPr>
          <w:rFonts w:ascii="Times New Roman" w:hAnsi="Times New Roman" w:eastAsia="Calibri"/>
          <w:sz w:val="28"/>
          <w:szCs w:val="28"/>
          <w:highlight w:val="white"/>
          <w:lang w:eastAsia="zh-CN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инва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лиды боевых действий), членам семей погибших участников боевых действий (далее – Порядок)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1)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наименование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изложить в следующей редакции: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«П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орядок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пред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оставления денежных пособий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лицам из числа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граждан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уволенны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х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с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военной службы, граждан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, имеющи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х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специальные звания полиции, уволенны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х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со службы в войсках национальной гвардии Российской Федерации, 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участник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ов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специальной военной операции, ставши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м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инвалидами вследствие </w:t>
      </w:r>
      <w:r>
        <w:rPr>
          <w:rFonts w:ascii="Times New Roman" w:hAnsi="Times New Roman" w:eastAsia="Calibri"/>
          <w:sz w:val="28"/>
          <w:szCs w:val="28"/>
          <w:highlight w:val="white"/>
          <w:lang w:eastAsia="zh-CN"/>
        </w:rPr>
        <w:t xml:space="preserve">ранения, контузии, увечья или заболевания, полученных в ходе боевых действий,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и членам семей погибших участников боевых действий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2)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пункт 1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изложить в следующей редакции: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1. Порядок определяет процедуру назначения и выплаты денежных пособий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лицам из числа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граждан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уволенны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х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с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военной службы, граждан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, имеющи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х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специальные звания полиции, уволенны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х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со службы в войсках национальной гвардии Российской Федерации, 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участник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ов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специальной военной операции, ставши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м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инвалидами вследствие </w:t>
      </w:r>
      <w:r>
        <w:rPr>
          <w:rFonts w:ascii="Times New Roman" w:hAnsi="Times New Roman" w:eastAsia="Calibri"/>
          <w:sz w:val="28"/>
          <w:szCs w:val="28"/>
          <w:highlight w:val="white"/>
          <w:lang w:eastAsia="zh-CN"/>
        </w:rPr>
        <w:t xml:space="preserve">ранения, контузии, увечья или заболевания, полученных в ходе боевых действий (далее – инвалиды боевых действий),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и членам семей погибших участников боевых действий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, проживающим в Новосибирской области (далее </w:t>
      </w:r>
      <w:r>
        <w:rPr>
          <w:rFonts w:ascii="Times New Roman" w:hAnsi="Times New Roman" w:eastAsia="Calibri"/>
          <w:sz w:val="28"/>
          <w:szCs w:val="28"/>
          <w:highlight w:val="white"/>
          <w:lang w:eastAsia="zh-CN"/>
        </w:rPr>
        <w:t xml:space="preserve">–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денежное пособие).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 настоящем Порядке используются следующие основные понятия: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участники специальной военной операции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–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граждане из числа военнослужащих,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лиц, пребывающих в добровольческих формированиях, содействующих выполнению задач, возло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женных на Вооруженные Силы Российской Федерации (войска национальной гвардии Российской Федерации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), лиц, проходящих службу в войсках национальной гвардии Российской Федерации и имеющих специальные звания полиции, сотрудников органов внутренних дел Российск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ой Федерации,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принимавших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highlight w:val="white"/>
        </w:rPr>
        <w:t xml:space="preserve">(принимающих)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 участие 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специальной военной операции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на территориях 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краины, Донецко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й Народной Республики, Луганской Народной Республики, Запорожской области и Херсонской области (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далее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  <w:lang w:eastAsia="zh-CN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 специальная военная операция)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highlight w:val="white"/>
        </w:rPr>
        <w:t xml:space="preserve">боевых действиях на территориях субъектов Российской Федерации, на которых Указом Президента Российской Федерации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от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19.10.2022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 № 757 «О мерах, осуществляемых в субъектах Российской Федер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ации в связи с Указом Президента Российской Федерации от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19 октября 2022 года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№ 756»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(далее – Указ № 757)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введен средний уровень реагирования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военнослужащих органов федеральной службы безопасности, непосредственно выполняющих задачи по охране государственной гран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ицы Российской Федерации на участках, примыкающих к районам проведения специальной военной операции, с 30 сентября 2022 года задачи по обеспечению безопасности Российской Федерации на участках, примыкающих к районам проведения специальной военной операции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члены семей погибших участников боевых действий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–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родители, дети, вдовы (вдовцы) военнослужащих, в том числе лиц рядового и начальствующего состава органов внутренних дел и органо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в государственной безопасности, исполнявших обязанности военной службы, граждан, имевших специальные звания полиции, проходивших службу в войсках национальной гвардии Российской Федерации, погибших (пропавших без вести) в ходе боевых действий, указанных в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 </w:t>
      </w:r>
      <w:hyperlink r:id="rId10" w:tooltip="https://login.consultant.ru/link/?req=doc&amp;base=LAW&amp;n=482678&amp;dst=100357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  <w:highlight w:val="white"/>
          </w:rPr>
          <w:t xml:space="preserve">разделе III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приложения к Федеральному закону от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12.01.1995 № 5-ФЗ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«О ветеранах»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(далее – военнослужащие)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, родители, дети, вдовы (вдовцы) погибших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(пропавших без вести, умерших вследствие увечья (контузии, тра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вмы, ранения)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, полученных в ходе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специальной военной операции (при выполнении задач по охране государственной границы Российской Федерации на участках, примыкающих к районам проведения специальной военной операции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zh-CN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  <w:br/>
        <w:t xml:space="preserve">с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30 сентября 2022 года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задач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 по обеспечению безопасности Российской Федерации на участках, примыкающих к районам пров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едения специальной воен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ной операци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а также в ходе участия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боевых действиях на территориях субъектов Российской Федерации, на которых Указом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№ 757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введен средний уровень реагирования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) участников специальной военной операции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3)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 в абзаце втором пункта 2 слова «на назначение денежного пособия,» заменить словами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на назначение денежного пособия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(далее – заявитель), его упол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номоченным представителем (далее – представитель)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4) подпункт 2 пункта 2.1 после слова «заявителем» дополнить словами «(представителем)»;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5) в пункте 2.2 слова «заявителя (его уполномоченного представителя)» заменить словами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заявителя (представителя)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6) в абзаце третьем пункта 3 слово «гражданина» в соответствующем падеже заменить словами «заявителя (представителя)»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соответствующих падежах;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7) в пункте 4: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а) в абзаце первом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слово «гражданина» заменить словами «заявителя (представителя)»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б) в абзаце третьем слово «Гражданину» заменить словом «Заявителю»;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абзацах четвертом, пятом, шестом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слово «гражданином»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соответствующем падеже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заменить словом «заявителем»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соответствующем падеже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8)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пункт 8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8. Для получения пособия инвалиду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заявитель (представитель)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представляет в центр социальной поддержки населения по месту жительства (пребывания) следующие документы:</w:t>
      </w:r>
      <w:r>
        <w:rPr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1) заявление;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2) документ, удостоверяющий личность;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3) копию удостоверения инвалида о праве на льготы (представляется по собственной инициативе);</w:t>
      </w:r>
      <w:r>
        <w:rPr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852"/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4) копию справки медико-социальной экспертизы (МСЭ) (представляется по собственной инициативе) или копию справки врачебно-трудовой экспертной комиссии (ВТЭК) об инвалидности с указанием одной из следующих причин инвалидности: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а) военная травма;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б) заболевание получено при ис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полнении обязанностей военной службы;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2"/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в) </w:t>
      </w:r>
      <w:r>
        <w:rPr>
          <w:rFonts w:ascii="Times New Roman" w:hAnsi="Times New Roman" w:eastAsia="Calibri"/>
          <w:sz w:val="28"/>
          <w:szCs w:val="28"/>
          <w:highlight w:val="white"/>
          <w:lang w:eastAsia="zh-CN"/>
        </w:rPr>
        <w:t xml:space="preserve">ранение, контузия, увечье или заболевание</w:t>
      </w:r>
      <w:r>
        <w:rPr>
          <w:rFonts w:ascii="Times New Roman" w:hAnsi="Times New Roman" w:eastAsia="Calibri"/>
          <w:sz w:val="28"/>
          <w:szCs w:val="28"/>
          <w:highlight w:val="white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получено в связи с исполнением 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  <w:t xml:space="preserve">обязанностей по контракту о пребывании</w:t>
      </w:r>
      <w:r>
        <w:rPr>
          <w:rFonts w:ascii="Calibri" w:hAnsi="Calibri" w:eastAsia="Calibri" w:cs="Times New Roman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  <w:t xml:space="preserve">в добровольческом формировании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  <w:t xml:space="preserve">в ходе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г) </w:t>
      </w:r>
      <w:r>
        <w:rPr>
          <w:rFonts w:ascii="Times New Roman" w:hAnsi="Times New Roman" w:eastAsia="Calibri"/>
          <w:sz w:val="28"/>
          <w:szCs w:val="28"/>
          <w:highlight w:val="white"/>
          <w:lang w:eastAsia="zh-CN"/>
        </w:rPr>
        <w:t xml:space="preserve">ранение, контузия, увечье или заболевание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получено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в связи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 исполнением 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  <w:t xml:space="preserve">контракта (иных правоотношений) 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  <w:t xml:space="preserve">с организациями, содействующими выполнению задач, возложенных на В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  <w:t xml:space="preserve">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5) </w:t>
      </w:r>
      <w:r>
        <w:rPr>
          <w:rFonts w:ascii="Times New Roman" w:hAnsi="Times New Roman"/>
          <w:sz w:val="28"/>
          <w:szCs w:val="28"/>
          <w:highlight w:val="white"/>
        </w:rPr>
        <w:t xml:space="preserve">копию документа (свидетельство о болезни, при отсутствии свидетельства о болезни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–</w:t>
      </w:r>
      <w:r>
        <w:rPr>
          <w:rFonts w:ascii="Times New Roman" w:hAnsi="Times New Roman"/>
          <w:sz w:val="28"/>
          <w:szCs w:val="28"/>
          <w:highlight w:val="white"/>
        </w:rPr>
        <w:t xml:space="preserve"> заключение военно-врачебной комиссии), подтверждающего получение</w:t>
      </w:r>
      <w:r>
        <w:rPr>
          <w:rFonts w:ascii="Times New Roman" w:hAnsi="Times New Roman"/>
          <w:sz w:val="28"/>
          <w:szCs w:val="28"/>
          <w:highlight w:val="white"/>
        </w:rPr>
        <w:t xml:space="preserve"> контузии, 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травмы</w:t>
      </w:r>
      <w:r>
        <w:rPr>
          <w:rFonts w:ascii="Times New Roman" w:hAnsi="Times New Roman"/>
          <w:i/>
          <w:iCs/>
          <w:sz w:val="28"/>
          <w:szCs w:val="28"/>
          <w:highlight w:val="white"/>
        </w:rPr>
        <w:t xml:space="preserve">, </w:t>
      </w:r>
      <w:r>
        <w:rPr>
          <w:rFonts w:ascii="Times New Roman" w:hAnsi="Times New Roman"/>
          <w:sz w:val="28"/>
          <w:szCs w:val="28"/>
          <w:highlight w:val="white"/>
        </w:rPr>
        <w:t xml:space="preserve">ранения</w:t>
      </w:r>
      <w:r>
        <w:rPr>
          <w:rFonts w:ascii="Times New Roman" w:hAnsi="Times New Roman"/>
          <w:sz w:val="28"/>
          <w:szCs w:val="28"/>
          <w:highlight w:val="white"/>
        </w:rPr>
        <w:t xml:space="preserve"> или увечья в ходе боевых действий, указанных в разделе III приложения к Федеральному зак</w:t>
      </w:r>
      <w:r>
        <w:rPr>
          <w:rFonts w:ascii="Times New Roman" w:hAnsi="Times New Roman"/>
          <w:sz w:val="28"/>
          <w:szCs w:val="28"/>
          <w:highlight w:val="white"/>
        </w:rPr>
        <w:t xml:space="preserve">ону от 12.01.1995 № 5-ФЗ «О ветеранах»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(не представляется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лицами, пребывающими в добровольческих формированиях, содействующих выполнению задач, возло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женных на Вооруженные Силы Российской Федерации (войска национальной гвардии Российской Федерации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ицами, заключившими контракт (имевшими иные правоотношения) с организациями, содействующими выполнению задач, возложенных на Вооруженные Силы Российской Федерации, принимавшими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highlight w:val="white"/>
        </w:rPr>
        <w:t xml:space="preserve">(принимающими)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 участие 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специальной военной операции,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highlight w:val="white"/>
        </w:rPr>
        <w:t xml:space="preserve">боевых действиях на территориях субъектов Российской Федерации, на которых </w:t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Указом № 757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введен средний уровень реагирования)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6) копию военного билета с отметкой об увольнении с военной службы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(представляется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в отношении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аявителей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из числа военнослужащих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)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7)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копию справки о подтверждении факта участия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гражданина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специальной военной операции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территориях Украины, Донецкой Народной Республики, Луганской Народной Республики, Запорожской области и Херсонской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выданн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федеральным органом исполнительной власти (федеральным государственным органом)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участнику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специальной военной операц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соответствии с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постановлением Правительства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от 09.10.2024 № 1354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 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представляется по собственной инициативе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случае представления документов представителем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заявителя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дополнительно представляется документ, удостоверяющий его личность, и документ, подтверждающий его полномочия.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Если для получения пособия инвалиду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заявитель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(представитель)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дополнит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»;</w:t>
      </w:r>
      <w:r>
        <w:rPr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пункт 12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12. Родитель (усыновитель, опекун, попечитель)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или его представитель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обратившийся за назначением пособия детям на ребенка в возрасте до 18 лет, представляет в центр социальной поддержки населения по месту жительства 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пребывания) следующие документы: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 заявление;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 документ, удостоверяющий личность;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3) копию свидетельства о рождении ребенка (представляется по собственной инициативе, за исключением свидетельства о государственной регистрации акта гражданского состояния, выданного компетентным органом иностранного государства, и его нотариал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ьно удостоверенного перевода на русский язык);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4) копию документа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(извещения или справки)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подтверждающего гибель,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установление факта пропажи без вести, смерть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вследствие увечья (контузии, травмы, ранения), полученных в ходе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боевых действий, указанных в разделе III приложения к Федеральному закону от 12.01.1995 № 5-ФЗ «О ветеранах»,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либо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специальной военной операции (при выполнении задач по охране государственной границы Российской Федерации на участках, примыкающих к районам проведения специаль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ной военной операции, с 30 сентября 2022 года задач по обеспечению безопасности Российской Федерации на участках, примыкающих к районам проведения специальной военной операции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а также в ходе участия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боевых действиях на территориях субъектов Российс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кой Федерации, на которых Указом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№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757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введен средний уровень реагирования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участника специальной военной операции, выданного органом военного управления, 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ъединением, соединением, воинской частью либо организацией Вооруженных Сил Российской Федерации, оперативно-территориальным объединением, воинской частью (организацией) войск национальной гвардии Российской Федерации, территориальным органом Росгвардии, по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дразделением ФСБ России, органом федеральной службы безопасности, органами внутренних дел Российской Федерации либо военным комиссариатом,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либо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копию решения суда об объявлении гражданина умершим или о признании гражданина безвестно отсутствующим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 установлении факта гибели, смерти вследствие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увечья (контузии, травмы, ранения)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копию документа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подтверждающего гибель,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установление факта пропажи без вести, смерть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вследствие увечья (контузии, травмы, ранения), полученных в ходе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специальной военной операции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участника специальной военной операции, выданного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филиалом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Государственного фонда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поддержки участников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специальной военной операции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«Защитники Отечества» в Новосибирской области (представляется по собственной инициативе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отношении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копию документа, подтверждающего совместное проживание ребенка с родителем (усыновителем, опекуном, попечителем) (для ребенка, не достигшего 14-летнего возраста,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свидетельство о регистрации по месту жительства, для родителя (усыновителя, опекуна, попеч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ителя) и ребенка, достигшего 14-летнего возраста,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свидетельство о регистрации по месту пребывания либо паспорт с отметкой о регистрации по месту жительства (если он не представлялся в качестве документа, удостоверяющего личность родителя (усыновителя, опе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куна, попечителя),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которые представляются по собственной инициативе, либо решение суда об установлении юридического факта проживания родителя (усыновителя, опекуна, попечителя) или ребенка по определенному адресу);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выписку из решения органов местного самоуправления об установлении над ребенком опеки (попечительства) в случае, когда ребенок находится под опекой (попечительством), если решение выдано на территории Новосибирской области, представляется по собственной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инициативе.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представления документов представителем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родителя (усыновителя, опекуна, попечителя)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дополнительно представляется документ, удостоверяющий его личность, и документ, подтверждающий его полномочия.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сли для получения пособия детям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заявитель дополнитель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пункт 14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 Дети по достижении возраста 18 лет, обучающиеся в образовательных организациях по очной форме обучения, или их представители представляют в центр социальной поддержки населения по месту жительства (пребывания) следующие документы: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 заявление;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 документ, удостоверяющий личность;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3) копию свидетельства о рождении (представляется по собственной инициативе, за исключением свидетельства о государственной регистрации акта гражданского состояния, выданного компетентным органом иностранного государства, и его нотариально удос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товеренного перевода на русский язык);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4) копию документа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(извещения или справки)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подтверждающего гибель,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установление факта пропажи без вести, смерть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вследствие увечья (контузии, травмы, ранения), полученных в ходе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боевых действий, указанных в разделе III приложения к Федеральному закону от 12.01.1995 № 5-ФЗ «О ветеранах»,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либо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ходе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специальной военной операции (при выполнении задач по охране государственной границы Российской Федерации на участках, примыкающих к районам проведения специаль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ной военной операции, с 30 сентября 2022 года задач по обеспечению безопасности Российской Федерации на участках, примыкающих к районам проведения специальной военной операции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а также в ходе участия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боевых действиях на территориях субъектов Российс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кой Федерации, на которых Указом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№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757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введен средний уровень реагирования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участника специальной военной операции, выданного органом военного управления, 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ъединением, соединением, воинской частью либо организацией Вооруженных Сил Российской Федерации, оперативно-территориальным объединением, воинской частью (организацией) войск национальной гвардии Российской Федерации, территориальным органом Росгвардии, по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дразделением ФСБ России, органом федеральной службы безопасности, органами внутренних дел Российской Федерации либо военным комиссариатом, 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ибо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копию решения суда об объявлении гражданина умершим или о признании гражданина безвестно отсутствующим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 установлении факта гибели, смерти вследствие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увечья (контузии, травмы, ранения)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копию документа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подтверждающего гибель,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установление факта пропажи без вести, смерть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вследствие увечья (контузии, травмы, ранения), полученных в ходе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специальной военной операции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участника специальной военной операции, выданного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филиалом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Государственного фонда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поддержки участников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специальной военной операции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«Защитники Отечества» в Новосибирской области (представляется по собственной инициативе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отношении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справку из образовательной организации о прохождении обучения по очной форме (справка из образовательной организации представляется ежегодно не позднее 15 октября текущего года) (представляется по собственной инициативе, за исключением докум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ента, связанного с прохождением обучения, выданного на территории иностранного государства, и его нотариально удостоверенного перевода на русский язык).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представления документов представителем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ребенка, достигшего возраста 18 ле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обучающегося в образовательных организациях по очной форме обучения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дополнительно представляется документ, удостоверяющий его личность, и документ, подтверждающий его полномочия.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сли для получения пособия детям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заявитель дополнитель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пункт 16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«16.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Для получения пособия родителям каждый из родителей погибшего участника боевых действий или его представитель представляет в центр социальной поддержки населения по месту жительства (пребывания) следующие документы: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 заявление;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 документ, удостоверяющий личность;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3) копию свидетельства о рождении погибшего участника боевых действий (представляется по собственной инициативе, за исключением свидетельства о государственной регистрации акта гражданского состояния, выданного компетентным органом иностранного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государства, и его нотариально удостоверенного перевода на русский язык);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4) копию свидетельства о смерти участника боевых действий (представляется по собственной инициативе, за исключением свидетельства о государственной регистрации акта гражданского состояния, выданного компетентным органом иностранного государства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и его нотариально удостоверенного перевода на русский язык);</w:t>
      </w:r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копию документа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(извещения или справки)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подтверждающего гибель,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установление факта пропажи без вести, смерть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вследствие увечья (контузии, травмы, ранения), полученных в ходе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боевых действий, указанных в разделе III приложения к Федеральному закону от 12.01.1995 № 5-ФЗ «О ветеранах»,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либо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ходе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специальной военной операции (при выполнении задач по охране государственной границы Российской Федерации на участках, примыкающих к районам проведения специаль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ной военной операции, с 30 сентября 2022 года задач по обеспечению безопасности Российской Федерации на участках, примыкающих к районам проведения специальной военной операции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а также в ходе участия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боевых действиях на территориях субъектов Российс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кой Федерации, на которых Указом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№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757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введен средний уровень реагирования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участника специальной военной операции, выданного органом военного управления, 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ъединением, соединением, воинской частью либо организацией Вооруженных Сил Российской Федерации, оперативно-территориальным объединением, воинской частью (организацией) войск национальной гвардии Российской Федерации, территориальным органом Росгвардии, по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дразделением ФСБ России, органом федеральной службы безопасности, органами внутренних дел Российской Федерации либо военным комиссариатом, 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ибо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копию решения суда об объявлении гражданина умершим или о признании гражданина безвестно отсутствующим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 установлении факта гибели, смерти вследствие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увечья (контузии, травмы, ранения)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копию документа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подтверждающего гибель,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установление факта пропажи без вести, смерть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вследствие увечья (контузии, травмы, ранения), полученных в ходе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специальной военной операции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участника специальной военной операции, выданного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филиалом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Государственного фонда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поддержки участников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специальной военной операции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«Защитники Отечества» в Новосибирской области (представляется по собственной инициативе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отношении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копию документа, подтверждающего нетрудоспособность родителя погибшего участника боевых действий, являющегося нетрудоспособным (пенсионное удостоверение, заключение федерального учреждения медико-социальной экспертизы об утрате профессиональной трудоспос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обности, справка о полной утрате трудоспособности в связи инвалидностью I или II групп, выданная федеральным учреждением медико-социальной экспертизы) (представляется по собственной инициативе).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представления документов представителем родителя погибшего участника боевых действий дополнительно представляется документ, удостоверяющий его личность, и документ, подтверждающий его полномочия.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сли для получения пособия родителям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заявитель дополни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пункт 18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18. Для получения единовременного денежного пособия родителям и вдовам (вдовцам) погибших участников боевых действий один из родителей, вдова (вдовец) погибшего участника боевых действий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или его представитель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представляют в центры социальной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поддержки населения по месту жительства (пребывания) следующие документы: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 заявление;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 документ, удостоверяющий личность;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копию документа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(извещения или справки)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подтверждающего гибель,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установление факта пропажи без вести, смерть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вследствие увечья (контузии, травмы, ранения), полученных в ходе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боевых действий, указанных в разделе III приложения к Федеральному закону от 12.01.1995 № 5-ФЗ «О ветеранах»,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либо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ходе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специальной военной операции (при выполнении задач по охране государственной границы Российской Федерации на участках, примыкающих к районам проведения специаль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ной военной операции, с 30 сентября 2022 года задач по обеспечению безопасности Российской Федерации на участках, примыкающих к районам проведения специальной военной операции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а также в ходе участия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боевых действиях на территориях субъектов Российс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кой Федерации, на которых Указом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№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757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введен средний уровень реагирования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участника специальной военной операции, выданного органом военного управления, 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ъединением, соединением, воинской частью либо организацией Вооруженных Сил Российской Федерации, оперативно-территориальным объединением, воинской частью (организацией) войск национальной гвардии Российской Федерации, территориальным органом Росгвардии, по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дразделением ФСБ России, органом федеральной службы безопасности, органами внутренних дел Российской Федерации либо военным комиссариатом, 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ибо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копию решения суда об объявлении гражданина умершим или о признании гражданина безвестно отсутствующим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 установлении факта гибели, смерти вследствие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увечья (контузии, травмы, ранения)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копию документа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подтверждающего гибель,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установление факта пропажи без вести, смерть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вследствие увечья (контузии, травмы, ранения), полученных в ходе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специальной военной операции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участника специальной военной операции, выданного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филиалом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Государственного фонда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поддержки участников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специальной военной операции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«Защитники Отечества» в Новосибирской области (представляется по собственной инициативе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отношении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копию свидетельства о рождении погибшего участника боевых действий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(представляется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отношении родителя погибшего участника боевых действий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собственной инициативе, за исключением свидетельства о государственной регистрации акта г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ражданского состояния, выданного компетентным органом иностранного государства, и его нотариально удостоверенного перевода на русский язык);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копию свидетельства о заключении брака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(представляется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отношении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вдовы (вдовца) погибшего участника боевых действий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собственной инициативе, за исключением свидетельства о государственной регистрации акта гражданского состояния,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выданного компетентным органом иностранного государства, и его нотариально удостоверенного перевода на русский язык).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представления документов представителем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родителей или вдовы (вдовца) погибшего участника боевых действий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дополнительно представляется документ, удостоверяющий его личность, и документ, подтверждающий его полномочия.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сли для получения единовременного денежного пособия родителям и вдовам (вдовцам) погибших участников боевых действий необходима обработка персональных данных лица, не являющегося заявителем, и если в соответствии с федеральным законом обработка таких персо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нальных данных может осуществляться с согласия указанного лица,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2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2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Губернатор Новосибирской области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А.А. Травников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right="-1"/>
        <w:spacing w:after="0" w:afterAutospacing="0" w:line="283" w:lineRule="atLeast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Е.В. Бахарева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right="-1"/>
        <w:spacing w:after="0" w:afterAutospacing="0" w:line="283" w:lineRule="atLeas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238 75 10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4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2"/>
    <w:next w:val="852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2"/>
    <w:next w:val="852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52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52"/>
    <w:next w:val="85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link w:val="694"/>
    <w:uiPriority w:val="10"/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link w:val="696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link w:val="702"/>
    <w:uiPriority w:val="99"/>
  </w:style>
  <w:style w:type="paragraph" w:styleId="704">
    <w:name w:val="Footer"/>
    <w:basedOn w:val="85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link w:val="704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next w:val="852"/>
    <w:link w:val="852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53">
    <w:name w:val="Основной шрифт абзаца"/>
    <w:next w:val="853"/>
    <w:link w:val="852"/>
    <w:uiPriority w:val="1"/>
    <w:unhideWhenUsed/>
  </w:style>
  <w:style w:type="table" w:styleId="854">
    <w:name w:val="Обычная таблица"/>
    <w:next w:val="854"/>
    <w:link w:val="852"/>
    <w:uiPriority w:val="99"/>
    <w:semiHidden/>
    <w:unhideWhenUsed/>
    <w:tblPr/>
  </w:style>
  <w:style w:type="numbering" w:styleId="855">
    <w:name w:val="Нет списка"/>
    <w:next w:val="855"/>
    <w:link w:val="852"/>
    <w:uiPriority w:val="99"/>
    <w:semiHidden/>
    <w:unhideWhenUsed/>
  </w:style>
  <w:style w:type="paragraph" w:styleId="856">
    <w:name w:val="ConsPlusNormal"/>
    <w:next w:val="856"/>
    <w:link w:val="852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57">
    <w:name w:val="ConsPlusCell"/>
    <w:next w:val="857"/>
    <w:link w:val="852"/>
    <w:uiPriority w:val="99"/>
    <w:rPr>
      <w:rFonts w:ascii="Times New Roman" w:hAnsi="Times New Roman"/>
      <w:sz w:val="28"/>
      <w:szCs w:val="28"/>
      <w:lang w:val="ru-RU" w:eastAsia="en-US" w:bidi="ar-SA"/>
    </w:rPr>
  </w:style>
  <w:style w:type="paragraph" w:styleId="858">
    <w:name w:val="Основной текст"/>
    <w:basedOn w:val="852"/>
    <w:next w:val="858"/>
    <w:link w:val="859"/>
    <w:unhideWhenUsed/>
    <w:pPr>
      <w:spacing w:after="120"/>
    </w:pPr>
    <w:rPr>
      <w:rFonts w:eastAsia="Times New Roman"/>
    </w:rPr>
  </w:style>
  <w:style w:type="character" w:styleId="859">
    <w:name w:val="Основной текст Знак"/>
    <w:next w:val="859"/>
    <w:link w:val="858"/>
    <w:rPr>
      <w:rFonts w:ascii="Calibri" w:hAnsi="Calibri" w:eastAsia="Times New Roman" w:cs="Times New Roman"/>
    </w:rPr>
  </w:style>
  <w:style w:type="paragraph" w:styleId="860">
    <w:name w:val="Верхний колонтитул,ВерхКолонтитул"/>
    <w:basedOn w:val="852"/>
    <w:next w:val="860"/>
    <w:link w:val="861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861">
    <w:name w:val="Верхний колонтитул Знак,ВерхКолонтитул Знак"/>
    <w:next w:val="861"/>
    <w:link w:val="860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table" w:styleId="862">
    <w:name w:val="Сетка таблицы"/>
    <w:basedOn w:val="854"/>
    <w:next w:val="862"/>
    <w:link w:val="852"/>
    <w:uiPriority w:val="59"/>
    <w:tblPr/>
  </w:style>
  <w:style w:type="paragraph" w:styleId="863">
    <w:name w:val="Текст выноски"/>
    <w:basedOn w:val="852"/>
    <w:next w:val="863"/>
    <w:link w:val="86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4">
    <w:name w:val="Текст выноски Знак"/>
    <w:next w:val="864"/>
    <w:link w:val="86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65">
    <w:name w:val="Гиперссылка"/>
    <w:next w:val="865"/>
    <w:link w:val="852"/>
    <w:uiPriority w:val="99"/>
    <w:unhideWhenUsed/>
    <w:rPr>
      <w:color w:val="0563c1"/>
      <w:u w:val="single"/>
    </w:rPr>
  </w:style>
  <w:style w:type="paragraph" w:styleId="866">
    <w:name w:val="Нижний колонтитул"/>
    <w:basedOn w:val="852"/>
    <w:next w:val="866"/>
    <w:link w:val="86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7">
    <w:name w:val="Нижний колонтитул Знак"/>
    <w:next w:val="867"/>
    <w:link w:val="866"/>
    <w:uiPriority w:val="99"/>
    <w:rPr>
      <w:sz w:val="22"/>
      <w:szCs w:val="22"/>
      <w:lang w:eastAsia="en-US"/>
    </w:rPr>
  </w:style>
  <w:style w:type="character" w:styleId="868">
    <w:name w:val="Знак примечания"/>
    <w:next w:val="868"/>
    <w:link w:val="852"/>
    <w:uiPriority w:val="99"/>
    <w:semiHidden/>
    <w:unhideWhenUsed/>
    <w:rPr>
      <w:sz w:val="16"/>
      <w:szCs w:val="16"/>
    </w:rPr>
  </w:style>
  <w:style w:type="paragraph" w:styleId="869">
    <w:name w:val="Текст примечания"/>
    <w:basedOn w:val="852"/>
    <w:next w:val="869"/>
    <w:link w:val="870"/>
    <w:uiPriority w:val="99"/>
    <w:semiHidden/>
    <w:unhideWhenUsed/>
    <w:rPr>
      <w:sz w:val="20"/>
      <w:szCs w:val="20"/>
    </w:rPr>
  </w:style>
  <w:style w:type="character" w:styleId="870">
    <w:name w:val="Текст примечания Знак"/>
    <w:next w:val="870"/>
    <w:link w:val="869"/>
    <w:uiPriority w:val="99"/>
    <w:semiHidden/>
    <w:rPr>
      <w:lang w:eastAsia="en-US"/>
    </w:rPr>
  </w:style>
  <w:style w:type="paragraph" w:styleId="871">
    <w:name w:val="Тема примечания"/>
    <w:basedOn w:val="869"/>
    <w:next w:val="869"/>
    <w:link w:val="872"/>
    <w:uiPriority w:val="99"/>
    <w:semiHidden/>
    <w:unhideWhenUsed/>
    <w:rPr>
      <w:b/>
      <w:bCs/>
    </w:rPr>
  </w:style>
  <w:style w:type="character" w:styleId="872">
    <w:name w:val="Тема примечания Знак"/>
    <w:next w:val="872"/>
    <w:link w:val="871"/>
    <w:uiPriority w:val="99"/>
    <w:semiHidden/>
    <w:rPr>
      <w:b/>
      <w:bCs/>
      <w:lang w:eastAsia="en-US"/>
    </w:rPr>
  </w:style>
  <w:style w:type="character" w:styleId="873" w:default="1">
    <w:name w:val="Default Paragraph Font"/>
    <w:uiPriority w:val="1"/>
    <w:semiHidden/>
    <w:unhideWhenUsed/>
  </w:style>
  <w:style w:type="numbering" w:styleId="874" w:default="1">
    <w:name w:val="No List"/>
    <w:uiPriority w:val="99"/>
    <w:semiHidden/>
    <w:unhideWhenUsed/>
  </w:style>
  <w:style w:type="table" w:styleId="87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login.consultant.ru/link/?req=doc&amp;base=LAW&amp;n=482678&amp;dst=10035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SCCM-01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Надточий</dc:creator>
  <cp:revision>30</cp:revision>
  <dcterms:created xsi:type="dcterms:W3CDTF">2024-07-17T05:29:00Z</dcterms:created>
  <dcterms:modified xsi:type="dcterms:W3CDTF">2024-12-18T07:12:05Z</dcterms:modified>
  <cp:version>983040</cp:version>
</cp:coreProperties>
</file>