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02.08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instrText xml:space="preserve">HYPERLINK consultantplus://offline/ref=3563429628022DCE612ECDC179EE96E27E296DAF5E3F9730AD282A1DEC637284C8D40453BE7FDD39C7B75787C160F87DB3E3FCF </w:instrTex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fldChar w:fldCharType="separate"/>
      </w:r>
      <w:r>
        <w:rPr>
          <w:rStyle w:val="865"/>
          <w:rFonts w:ascii="Times New Roman" w:hAnsi="Times New Roman"/>
          <w:color w:val="000000"/>
          <w:sz w:val="28"/>
          <w:szCs w:val="28"/>
          <w:highlight w:val="white"/>
          <w:u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 02.08.2010 № 80-п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Порядке предоставления денежных пособ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1. Наименование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 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орядке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оставления денежных пособий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2. В преамбуле слова «статьей 9» заменить словами «статьями 5, 9».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3. Пункт 1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«1. Утвердить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прилагаемый Порядок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оставления денежных пособий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лицам из числа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4. Подпункты 1, 2 пункта 2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организовать назначение и выплату ежемесячных и единовременных денежных пособий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согласно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прилагаемому Порядку;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2) ежегодно при подготовке предложений по формированию областного бюджета Новосибирской области предусматривать денежные средства, необходимые для выплаты денежных пособий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и оплаты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услуг доставки данных денежных выплат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5. В пункте 3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«Нелюбова С.А.»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6. 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 (далее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инва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лиды боевых действий), членам семей погибших участников боевых действий (далее – Порядок)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орядок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оставления денежных пособий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пункт 1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1. Порядок определяет процедуру назначения и выплаты денежных пособий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 (далее – инвалиды боевых действий),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проживающим в Новосибирской области (далее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денежное пособие).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настоящем Порядке используются следующие основные понятия: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участники специальной военной операции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граждане из числа военнослужащих,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лиц, пребывающих в добровольческих формированиях, содействующих выполнению задач, возло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женных на Вооруженные Силы Российской Федерации (войска национальной гвардии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ой Федерации,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принимавших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(принимающих)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участие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специальной военной операции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на территориях 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краины, Донецко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й Народной Республики, Луганской Народной Республики, Запорожской области и Херсонской области 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специальная военная операция)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Президента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19.10.2022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№ 757 «О мерах, осуществляемых в субъектах Российской Федер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ации в связи с Указом Президента Российской Федерации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19 октября 2022 года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№ 756»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Указ № 757)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военнослужащих органов федеральной службы безопасности, непосредственно выполняющих задачи по охране государственной гран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члены семей погибших участников боевых действий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родители, дети, вдовы (вдовцы) военнослужащих, в том числе лиц рядового и начальствующего состава органов внутренних дел и органо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государственной безопасности, исполнявших обязанности военной службы, граждан, имевших специальные звания полиции, проходивших службу в войсках национальной гвардии Российской Федерации, погибших (пропавших без вести) в ходе боевых действий, указанных 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hyperlink r:id="rId10" w:tooltip="https://login.consultant.ru/link/?req=doc&amp;base=LAW&amp;n=482678&amp;dst=10035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  <w:highlight w:val="white"/>
          </w:rPr>
          <w:t xml:space="preserve">разделе III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приложения к Федеральному закону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12.01.1995 № 5-ФЗ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«О ветеранах»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(далее – военнослужащие)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родители, дети, вдовы (вдовцы) погибших (пропавших без вести, умерших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ранения), полученных в ходе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zh-CN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  <w:br/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30 сентября 2022 года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задач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по обеспечению безопасности Российской Федерации на участках, примыкающих к районам пров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едения специальной воен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операци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 участников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 в пункте 8: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подпункты 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-6 изложить в следу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«4) копию справки медико-социальной экспертизы (МСЭ) (представляется по собственной инициативе) или копию справки врачебно-трудовой экспертной комиссии (ВТЭК) об инвалидности с указанием одной из следующих причин инвалидности: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 военная травма;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 заболевание получено при 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полнении обязанностей военной службы;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2"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ранение, контузия, увечье или заболевание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получено в связи с исполнением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обязанностей по контракту о пребывании</w:t>
      </w:r>
      <w:r>
        <w:rPr>
          <w:rFonts w:ascii="Calibri" w:hAnsi="Calibri" w:eastAsia="Calibri" w:cs="Times New Roman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добровольческом формировании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ранение, контузия, увечье или заболевание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получено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связи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 исполнением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контракта (иных правоотношений)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с организациями, содействующими выполнению задач, возложенных на В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/>
          <w:sz w:val="28"/>
          <w:szCs w:val="28"/>
          <w:highlight w:val="white"/>
        </w:rPr>
        <w:t xml:space="preserve">копию документа (свидетельство о болезни, при отсутствии свидетельства о болезни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заключение военно-врачебной комиссии), подтверждающего получение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ранения, контузии или увечья в ходе боевых действий, указанных в разделе III приложения к Федеральному зак</w:t>
      </w:r>
      <w:r>
        <w:rPr>
          <w:rFonts w:ascii="Times New Roman" w:hAnsi="Times New Roman"/>
          <w:sz w:val="28"/>
          <w:szCs w:val="28"/>
          <w:highlight w:val="white"/>
        </w:rPr>
        <w:t xml:space="preserve">ону от 12.01.1995 № 5-ФЗ «О ветеранах»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(не представляется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лицами, пребывающими в добровольческих формированиях, содействующих выполнению задач, возло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женных на Вооруженные Силы Российской Федерации (войска национальной гвардии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(принимающими)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участие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специальной военной операции,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Указом № 757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6) копию военного билета с отметкой об увольнении с военной службы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(представляется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гражданами из числа военнослужащих,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лиц, проходящих службу в войсках национальной гвардии Российской Федерации и имеющих специальные звания полиции,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военнослужащих органов федеральной службы безопасности)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дополнить подпунктом 7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копию справки о подтверждении факта участия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территориях Украины, 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выданн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специальной военной операц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09.10.2024 № 1354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представляется по собственной инициативе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подпункт 4 пункта 12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безопасности Российской Федерации на участках, примыкающих к районам проведения специальной воен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операци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комиссариатом» дополнить словами «либо 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подпункт 4 пункта 14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безопасности Российской Федерации на участках, примыкающих к районам проведения специальной воен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операци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комиссариатом» дополнить словами «либо 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 подпункт 5 пункта 16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безопасности Российской Федерации на участках, примыкающих к районам проведения специальной воен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операци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комиссариатом» дополнить словами «либо 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7) подпункт 3 пункта 18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безопасности Российской Федерации на участках, примыкающих к районам проведения специальной воен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операци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комиссариатом» дополнить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словами «либо 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/>
        <w:spacing w:after="0" w:afterAutospacing="0" w:line="283" w:lineRule="atLeast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right="-1"/>
        <w:spacing w:after="0" w:afterAutospacing="0" w:line="283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Normal"/>
    <w:next w:val="856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7">
    <w:name w:val="ConsPlusCell"/>
    <w:next w:val="857"/>
    <w:link w:val="85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58">
    <w:name w:val="Основной текст"/>
    <w:basedOn w:val="852"/>
    <w:next w:val="858"/>
    <w:link w:val="859"/>
    <w:unhideWhenUsed/>
    <w:pPr>
      <w:spacing w:after="120"/>
    </w:pPr>
    <w:rPr>
      <w:rFonts w:eastAsia="Times New Roman"/>
    </w:rPr>
  </w:style>
  <w:style w:type="character" w:styleId="859">
    <w:name w:val="Основной текст Знак"/>
    <w:next w:val="859"/>
    <w:link w:val="858"/>
    <w:rPr>
      <w:rFonts w:ascii="Calibri" w:hAnsi="Calibri" w:eastAsia="Times New Roman" w:cs="Times New Roman"/>
    </w:rPr>
  </w:style>
  <w:style w:type="paragraph" w:styleId="860">
    <w:name w:val="Верхний колонтитул,ВерхКолонтитул"/>
    <w:basedOn w:val="852"/>
    <w:next w:val="860"/>
    <w:link w:val="86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1">
    <w:name w:val="Верхний колонтитул Знак,ВерхКолонтитул Знак"/>
    <w:next w:val="861"/>
    <w:link w:val="8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62">
    <w:name w:val="Сетка таблицы"/>
    <w:basedOn w:val="854"/>
    <w:next w:val="862"/>
    <w:link w:val="852"/>
    <w:uiPriority w:val="59"/>
    <w:tblPr/>
  </w:style>
  <w:style w:type="paragraph" w:styleId="863">
    <w:name w:val="Текст выноски"/>
    <w:basedOn w:val="852"/>
    <w:next w:val="86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5">
    <w:name w:val="Гиперссылка"/>
    <w:next w:val="865"/>
    <w:link w:val="852"/>
    <w:uiPriority w:val="99"/>
    <w:unhideWhenUsed/>
    <w:rPr>
      <w:color w:val="0563c1"/>
      <w:u w:val="single"/>
    </w:rPr>
  </w:style>
  <w:style w:type="paragraph" w:styleId="866">
    <w:name w:val="Ниж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uiPriority w:val="99"/>
    <w:rPr>
      <w:sz w:val="22"/>
      <w:szCs w:val="22"/>
      <w:lang w:eastAsia="en-US"/>
    </w:rPr>
  </w:style>
  <w:style w:type="character" w:styleId="868">
    <w:name w:val="Знак примечания"/>
    <w:next w:val="868"/>
    <w:link w:val="852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2"/>
    <w:next w:val="869"/>
    <w:link w:val="870"/>
    <w:uiPriority w:val="99"/>
    <w:semiHidden/>
    <w:unhideWhenUsed/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lang w:eastAsia="en-US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lang w:eastAsia="en-US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82678&amp;dst=1003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24</cp:revision>
  <dcterms:created xsi:type="dcterms:W3CDTF">2024-07-17T05:29:00Z</dcterms:created>
  <dcterms:modified xsi:type="dcterms:W3CDTF">2024-11-29T03:27:29Z</dcterms:modified>
  <cp:version>983040</cp:version>
</cp:coreProperties>
</file>