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284" w:type="dxa"/>
        <w:tblLook w:val="00A0" w:firstRow="1" w:lastRow="0" w:firstColumn="1" w:lastColumn="0" w:noHBand="0" w:noVBand="0"/>
      </w:tblPr>
      <w:tblGrid>
        <w:gridCol w:w="10031"/>
      </w:tblGrid>
      <w:tr w:rsidR="004A40C9" w:rsidRPr="00DE69C1">
        <w:trPr>
          <w:trHeight w:val="2698"/>
        </w:trPr>
        <w:tc>
          <w:tcPr>
            <w:tcW w:w="10031" w:type="dxa"/>
          </w:tcPr>
          <w:p w:rsidR="004A40C9" w:rsidRPr="00DE69C1" w:rsidRDefault="001822E4" w:rsidP="003611B9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9C1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4A40C9" w:rsidRPr="00DE69C1" w:rsidRDefault="004A40C9" w:rsidP="003611B9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40C9" w:rsidRPr="00DE69C1" w:rsidRDefault="001822E4" w:rsidP="003611B9">
            <w:pPr>
              <w:spacing w:after="0"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9C1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4A40C9" w:rsidRPr="00DE69C1" w:rsidRDefault="001822E4" w:rsidP="003611B9">
            <w:pPr>
              <w:spacing w:after="0"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9C1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A40C9" w:rsidRPr="00DE69C1" w:rsidRDefault="004A40C9" w:rsidP="003611B9">
            <w:pPr>
              <w:spacing w:after="0" w:line="235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0C9" w:rsidRPr="00DE69C1" w:rsidRDefault="001822E4" w:rsidP="003611B9">
            <w:pPr>
              <w:spacing w:after="0"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9C1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A40C9" w:rsidRPr="00DE69C1" w:rsidRDefault="004A40C9" w:rsidP="003611B9">
            <w:pPr>
              <w:spacing w:after="0" w:line="235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A40C9" w:rsidRPr="00DE69C1" w:rsidRDefault="004A40C9" w:rsidP="003611B9">
      <w:pPr>
        <w:pStyle w:val="af7"/>
        <w:spacing w:line="235" w:lineRule="auto"/>
        <w:ind w:firstLine="0"/>
        <w:rPr>
          <w:szCs w:val="28"/>
        </w:rPr>
        <w:sectPr w:rsidR="004A40C9" w:rsidRPr="00DE69C1">
          <w:headerReference w:type="default" r:id="rId13"/>
          <w:pgSz w:w="11907" w:h="16839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56"/>
        <w:gridCol w:w="6724"/>
        <w:gridCol w:w="540"/>
        <w:gridCol w:w="1260"/>
      </w:tblGrid>
      <w:tr w:rsidR="004A40C9" w:rsidRPr="00DE69C1" w:rsidTr="00591F3A">
        <w:tc>
          <w:tcPr>
            <w:tcW w:w="1356" w:type="dxa"/>
            <w:tcBorders>
              <w:bottom w:val="single" w:sz="4" w:space="0" w:color="auto"/>
            </w:tcBorders>
          </w:tcPr>
          <w:p w:rsidR="004A40C9" w:rsidRPr="00DE69C1" w:rsidRDefault="004A40C9" w:rsidP="003611B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4" w:type="dxa"/>
          </w:tcPr>
          <w:p w:rsidR="004A40C9" w:rsidRPr="00DE69C1" w:rsidRDefault="004A40C9" w:rsidP="003611B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A40C9" w:rsidRPr="00DE69C1" w:rsidRDefault="001822E4" w:rsidP="003611B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E69C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A40C9" w:rsidRPr="00DE69C1" w:rsidRDefault="004A40C9" w:rsidP="003611B9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0C9" w:rsidRPr="00DE69C1" w:rsidTr="00591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98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A40C9" w:rsidRPr="00D117C2" w:rsidRDefault="001822E4" w:rsidP="003611B9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C2">
              <w:rPr>
                <w:rFonts w:ascii="Times New Roman" w:hAnsi="Times New Roman"/>
                <w:sz w:val="24"/>
                <w:szCs w:val="24"/>
              </w:rPr>
              <w:t>г. Новосибирск</w:t>
            </w:r>
          </w:p>
        </w:tc>
      </w:tr>
    </w:tbl>
    <w:p w:rsidR="004A40C9" w:rsidRPr="00DE69C1" w:rsidRDefault="004A40C9" w:rsidP="009037C5">
      <w:pPr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</w:p>
    <w:p w:rsidR="004A40C9" w:rsidRPr="00DE69C1" w:rsidRDefault="001822E4" w:rsidP="009037C5">
      <w:pPr>
        <w:keepNext/>
        <w:spacing w:after="0" w:line="235" w:lineRule="auto"/>
        <w:ind w:right="-144"/>
        <w:jc w:val="center"/>
        <w:outlineLvl w:val="3"/>
        <w:rPr>
          <w:rFonts w:ascii="Times New Roman" w:hAnsi="Times New Roman"/>
          <w:sz w:val="28"/>
          <w:szCs w:val="28"/>
        </w:rPr>
      </w:pPr>
      <w:r w:rsidRPr="00DE69C1">
        <w:rPr>
          <w:rFonts w:ascii="Times New Roman" w:hAnsi="Times New Roman"/>
          <w:sz w:val="28"/>
          <w:szCs w:val="28"/>
        </w:rPr>
        <w:t>О внесении изменений в приказ министерства труда и социального развития Новосибирской области от 30.07.2021 № 664</w:t>
      </w:r>
    </w:p>
    <w:p w:rsidR="004A40C9" w:rsidRPr="00DE69C1" w:rsidRDefault="004A40C9" w:rsidP="003611B9">
      <w:pPr>
        <w:spacing w:after="0" w:line="235" w:lineRule="auto"/>
        <w:rPr>
          <w:rFonts w:ascii="Times New Roman" w:hAnsi="Times New Roman"/>
          <w:sz w:val="28"/>
          <w:szCs w:val="28"/>
        </w:rPr>
      </w:pPr>
    </w:p>
    <w:p w:rsidR="004A40C9" w:rsidRPr="00DE69C1" w:rsidRDefault="004A40C9" w:rsidP="003611B9">
      <w:pPr>
        <w:keepNext/>
        <w:spacing w:after="0" w:line="235" w:lineRule="auto"/>
        <w:jc w:val="center"/>
        <w:outlineLvl w:val="3"/>
        <w:rPr>
          <w:rFonts w:ascii="Times New Roman" w:hAnsi="Times New Roman"/>
          <w:sz w:val="28"/>
          <w:szCs w:val="28"/>
        </w:rPr>
      </w:pPr>
    </w:p>
    <w:p w:rsidR="004A40C9" w:rsidRPr="00DE69C1" w:rsidRDefault="001822E4" w:rsidP="003611B9">
      <w:pPr>
        <w:widowControl w:val="0"/>
        <w:spacing w:after="0" w:line="235" w:lineRule="auto"/>
        <w:jc w:val="both"/>
        <w:rPr>
          <w:rFonts w:ascii="Times New Roman" w:hAnsi="Times New Roman"/>
          <w:b/>
          <w:sz w:val="28"/>
          <w:szCs w:val="28"/>
        </w:rPr>
      </w:pPr>
      <w:r w:rsidRPr="00DE69C1">
        <w:rPr>
          <w:rFonts w:ascii="Times New Roman" w:hAnsi="Times New Roman"/>
          <w:b/>
          <w:sz w:val="28"/>
          <w:szCs w:val="28"/>
        </w:rPr>
        <w:t>ПРИКАЗЫВАЮ:</w:t>
      </w:r>
    </w:p>
    <w:p w:rsidR="004A40C9" w:rsidRPr="00DE69C1" w:rsidRDefault="004A40C9" w:rsidP="003611B9">
      <w:pPr>
        <w:widowControl w:val="0"/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4C14" w:rsidRPr="00DE69C1" w:rsidRDefault="001822E4" w:rsidP="003611B9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9C1">
        <w:rPr>
          <w:rFonts w:ascii="Times New Roman" w:hAnsi="Times New Roman"/>
          <w:sz w:val="28"/>
          <w:szCs w:val="28"/>
        </w:rPr>
        <w:t>Внести в приказ министерства труда и социального развития Новосибирской области от 30.07.2021 № 664 «О нормативных затратах на обеспечение функций министерства труда и социального развития Новосибирской области и подведомственных ему учреждений» следующие изменения:</w:t>
      </w:r>
      <w:r w:rsidR="00C44C14" w:rsidRPr="00DE69C1">
        <w:rPr>
          <w:rFonts w:ascii="Times New Roman" w:hAnsi="Times New Roman"/>
          <w:sz w:val="28"/>
          <w:szCs w:val="28"/>
        </w:rPr>
        <w:t xml:space="preserve"> </w:t>
      </w:r>
    </w:p>
    <w:p w:rsidR="004A40C9" w:rsidRPr="00DE69C1" w:rsidRDefault="00AE4255" w:rsidP="003611B9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9C1">
        <w:rPr>
          <w:rFonts w:ascii="Times New Roman" w:hAnsi="Times New Roman"/>
          <w:sz w:val="28"/>
          <w:szCs w:val="28"/>
        </w:rPr>
        <w:t>в</w:t>
      </w:r>
      <w:r w:rsidR="001822E4" w:rsidRPr="00DE69C1">
        <w:rPr>
          <w:rFonts w:ascii="Times New Roman" w:hAnsi="Times New Roman"/>
          <w:sz w:val="28"/>
          <w:szCs w:val="28"/>
        </w:rPr>
        <w:t xml:space="preserve"> нормативах количества и (или) цены товаров, работ, услуг на обеспечение функций министерства труда и социального развития Новосибирской области и подведомственных ему учреждений:</w:t>
      </w:r>
    </w:p>
    <w:p w:rsidR="000C3D48" w:rsidRPr="00DE69C1" w:rsidRDefault="009D301D" w:rsidP="00D61455">
      <w:pPr>
        <w:widowControl w:val="0"/>
        <w:tabs>
          <w:tab w:val="left" w:pos="709"/>
        </w:tabs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9C1">
        <w:rPr>
          <w:rFonts w:ascii="Times New Roman" w:hAnsi="Times New Roman"/>
          <w:sz w:val="28"/>
          <w:szCs w:val="28"/>
        </w:rPr>
        <w:t>1.</w:t>
      </w:r>
      <w:r w:rsidR="00AE4255" w:rsidRPr="00DE69C1">
        <w:rPr>
          <w:rFonts w:ascii="Times New Roman" w:hAnsi="Times New Roman"/>
          <w:sz w:val="28"/>
          <w:szCs w:val="28"/>
        </w:rPr>
        <w:t xml:space="preserve"> </w:t>
      </w:r>
      <w:r w:rsidR="00AE2DDF" w:rsidRPr="00DE69C1">
        <w:rPr>
          <w:rFonts w:ascii="Times New Roman" w:hAnsi="Times New Roman"/>
          <w:sz w:val="28"/>
          <w:szCs w:val="28"/>
        </w:rPr>
        <w:t>В</w:t>
      </w:r>
      <w:r w:rsidR="008E6BFC" w:rsidRPr="00DE69C1">
        <w:rPr>
          <w:rFonts w:ascii="Times New Roman" w:hAnsi="Times New Roman"/>
          <w:sz w:val="28"/>
          <w:szCs w:val="28"/>
        </w:rPr>
        <w:t xml:space="preserve"> разделе </w:t>
      </w:r>
      <w:r w:rsidR="008E6BFC" w:rsidRPr="00DE69C1">
        <w:rPr>
          <w:rFonts w:ascii="Times New Roman" w:hAnsi="Times New Roman"/>
          <w:sz w:val="28"/>
          <w:szCs w:val="28"/>
          <w:lang w:val="en-US"/>
        </w:rPr>
        <w:t>I</w:t>
      </w:r>
      <w:r w:rsidR="008E6BFC" w:rsidRPr="00DE69C1">
        <w:rPr>
          <w:rFonts w:ascii="Times New Roman" w:hAnsi="Times New Roman"/>
          <w:sz w:val="28"/>
          <w:szCs w:val="28"/>
        </w:rPr>
        <w:t xml:space="preserve"> «Нормативы обеспечения функций министерства труда и социального развития Новосибирской области и подведомственных ему учреждений</w:t>
      </w:r>
      <w:r w:rsidR="001822E4" w:rsidRPr="00DE69C1">
        <w:rPr>
          <w:rFonts w:ascii="Times New Roman" w:hAnsi="Times New Roman"/>
          <w:sz w:val="28"/>
          <w:szCs w:val="28"/>
        </w:rPr>
        <w:t>, применяемые при расчете нормативных затрат на информационно-комм</w:t>
      </w:r>
      <w:r w:rsidR="003C40CE" w:rsidRPr="00DE69C1">
        <w:rPr>
          <w:rFonts w:ascii="Times New Roman" w:hAnsi="Times New Roman"/>
          <w:sz w:val="28"/>
          <w:szCs w:val="28"/>
        </w:rPr>
        <w:t>уникационные технологии (далее −</w:t>
      </w:r>
      <w:r w:rsidR="00FD2876">
        <w:rPr>
          <w:rFonts w:ascii="Times New Roman" w:hAnsi="Times New Roman"/>
          <w:sz w:val="28"/>
          <w:szCs w:val="28"/>
        </w:rPr>
        <w:t xml:space="preserve"> ИКТ)» </w:t>
      </w:r>
      <w:r w:rsidR="001B558B" w:rsidRPr="00DE69C1">
        <w:rPr>
          <w:rFonts w:ascii="Times New Roman" w:hAnsi="Times New Roman"/>
          <w:sz w:val="28"/>
          <w:szCs w:val="28"/>
        </w:rPr>
        <w:t>норматив</w:t>
      </w:r>
      <w:r w:rsidR="004C69AE">
        <w:rPr>
          <w:rFonts w:ascii="Times New Roman" w:hAnsi="Times New Roman"/>
          <w:sz w:val="28"/>
          <w:szCs w:val="28"/>
        </w:rPr>
        <w:t>ы</w:t>
      </w:r>
      <w:r w:rsidR="001B558B" w:rsidRPr="00DE69C1">
        <w:rPr>
          <w:rFonts w:ascii="Times New Roman" w:hAnsi="Times New Roman"/>
          <w:sz w:val="28"/>
          <w:szCs w:val="28"/>
        </w:rPr>
        <w:t xml:space="preserve"> на приобретение других запасных частей для вычислительной техники, установленных для государственных учреждений Новосибирской области, подведомственных Министерству, </w:t>
      </w:r>
      <w:r w:rsidR="00617203" w:rsidRPr="00DE69C1">
        <w:rPr>
          <w:rFonts w:ascii="Times New Roman" w:hAnsi="Times New Roman"/>
          <w:sz w:val="28"/>
          <w:szCs w:val="28"/>
        </w:rPr>
        <w:t>подраздел</w:t>
      </w:r>
      <w:r w:rsidR="001B558B" w:rsidRPr="00DE69C1">
        <w:rPr>
          <w:rFonts w:ascii="Times New Roman" w:hAnsi="Times New Roman"/>
          <w:sz w:val="28"/>
          <w:szCs w:val="28"/>
        </w:rPr>
        <w:t>а</w:t>
      </w:r>
      <w:r w:rsidR="00617203" w:rsidRPr="00DE69C1">
        <w:rPr>
          <w:rFonts w:ascii="Times New Roman" w:hAnsi="Times New Roman"/>
          <w:sz w:val="28"/>
          <w:szCs w:val="28"/>
        </w:rPr>
        <w:t xml:space="preserve"> 1.5</w:t>
      </w:r>
      <w:r w:rsidR="00840870" w:rsidRPr="00DE69C1">
        <w:rPr>
          <w:rFonts w:ascii="Times New Roman" w:hAnsi="Times New Roman"/>
          <w:sz w:val="28"/>
          <w:szCs w:val="28"/>
        </w:rPr>
        <w:t xml:space="preserve"> </w:t>
      </w:r>
      <w:r w:rsidR="004C69AE">
        <w:rPr>
          <w:rFonts w:ascii="Times New Roman" w:hAnsi="Times New Roman"/>
          <w:sz w:val="28"/>
          <w:szCs w:val="28"/>
        </w:rPr>
        <w:t xml:space="preserve">после </w:t>
      </w:r>
      <w:r w:rsidR="00840870" w:rsidRPr="00DE69C1">
        <w:rPr>
          <w:rFonts w:ascii="Times New Roman" w:hAnsi="Times New Roman"/>
          <w:sz w:val="28"/>
          <w:szCs w:val="28"/>
        </w:rPr>
        <w:t>с</w:t>
      </w:r>
      <w:r w:rsidR="001B558B" w:rsidRPr="00DE69C1">
        <w:rPr>
          <w:rFonts w:ascii="Times New Roman" w:hAnsi="Times New Roman"/>
          <w:sz w:val="28"/>
          <w:szCs w:val="28"/>
        </w:rPr>
        <w:t>трок</w:t>
      </w:r>
      <w:r w:rsidR="004C69AE">
        <w:rPr>
          <w:rFonts w:ascii="Times New Roman" w:hAnsi="Times New Roman"/>
          <w:sz w:val="28"/>
          <w:szCs w:val="28"/>
        </w:rPr>
        <w:t>и</w:t>
      </w:r>
      <w:r w:rsidR="001B558B" w:rsidRPr="00DE69C1">
        <w:rPr>
          <w:rFonts w:ascii="Times New Roman" w:hAnsi="Times New Roman"/>
          <w:sz w:val="28"/>
          <w:szCs w:val="28"/>
        </w:rPr>
        <w:t>, соответствующ</w:t>
      </w:r>
      <w:r w:rsidR="004C69AE">
        <w:rPr>
          <w:rFonts w:ascii="Times New Roman" w:hAnsi="Times New Roman"/>
          <w:sz w:val="28"/>
          <w:szCs w:val="28"/>
        </w:rPr>
        <w:t>ей</w:t>
      </w:r>
      <w:r w:rsidR="001B558B" w:rsidRPr="00DE69C1">
        <w:rPr>
          <w:rFonts w:ascii="Times New Roman" w:hAnsi="Times New Roman"/>
          <w:sz w:val="28"/>
          <w:szCs w:val="28"/>
        </w:rPr>
        <w:t xml:space="preserve"> наименованию </w:t>
      </w:r>
      <w:r w:rsidR="00156F94">
        <w:rPr>
          <w:rFonts w:ascii="Times New Roman" w:hAnsi="Times New Roman"/>
          <w:sz w:val="28"/>
          <w:szCs w:val="28"/>
        </w:rPr>
        <w:t xml:space="preserve"> </w:t>
      </w:r>
      <w:r w:rsidR="005E54D8">
        <w:rPr>
          <w:rFonts w:ascii="Times New Roman" w:hAnsi="Times New Roman"/>
          <w:sz w:val="28"/>
          <w:szCs w:val="28"/>
        </w:rPr>
        <w:t>«</w:t>
      </w:r>
      <w:r w:rsidR="004C69AE" w:rsidRPr="004C69AE">
        <w:rPr>
          <w:rFonts w:ascii="Times New Roman" w:hAnsi="Times New Roman"/>
          <w:sz w:val="28"/>
          <w:szCs w:val="28"/>
        </w:rPr>
        <w:t>Жесткий диск для сервера</w:t>
      </w:r>
      <w:r w:rsidR="001B558B" w:rsidRPr="00DE69C1">
        <w:rPr>
          <w:rFonts w:ascii="Times New Roman" w:hAnsi="Times New Roman"/>
          <w:sz w:val="28"/>
          <w:szCs w:val="28"/>
        </w:rPr>
        <w:t>»,</w:t>
      </w:r>
      <w:r w:rsidR="005A622B">
        <w:rPr>
          <w:rFonts w:ascii="Times New Roman" w:hAnsi="Times New Roman"/>
          <w:sz w:val="28"/>
          <w:szCs w:val="28"/>
        </w:rPr>
        <w:t xml:space="preserve"> </w:t>
      </w:r>
      <w:r w:rsidR="004C69AE">
        <w:rPr>
          <w:rFonts w:ascii="Times New Roman" w:hAnsi="Times New Roman"/>
          <w:sz w:val="28"/>
          <w:szCs w:val="28"/>
        </w:rPr>
        <w:t xml:space="preserve">дополнить строкой </w:t>
      </w:r>
      <w:r w:rsidR="00617203" w:rsidRPr="00DE69C1">
        <w:rPr>
          <w:rFonts w:ascii="Times New Roman" w:hAnsi="Times New Roman"/>
          <w:sz w:val="28"/>
          <w:szCs w:val="28"/>
        </w:rPr>
        <w:t>следующе</w:t>
      </w:r>
      <w:r w:rsidR="004C69AE">
        <w:rPr>
          <w:rFonts w:ascii="Times New Roman" w:hAnsi="Times New Roman"/>
          <w:sz w:val="28"/>
          <w:szCs w:val="28"/>
        </w:rPr>
        <w:t>го</w:t>
      </w:r>
      <w:r w:rsidR="00617203" w:rsidRPr="00DE69C1">
        <w:rPr>
          <w:rFonts w:ascii="Times New Roman" w:hAnsi="Times New Roman"/>
          <w:sz w:val="28"/>
          <w:szCs w:val="28"/>
        </w:rPr>
        <w:t xml:space="preserve"> </w:t>
      </w:r>
      <w:r w:rsidR="004C69AE">
        <w:rPr>
          <w:rFonts w:ascii="Times New Roman" w:hAnsi="Times New Roman"/>
          <w:sz w:val="28"/>
          <w:szCs w:val="28"/>
        </w:rPr>
        <w:t>содержания</w:t>
      </w:r>
      <w:r w:rsidR="001B558B" w:rsidRPr="00DE69C1">
        <w:rPr>
          <w:rFonts w:ascii="Times New Roman" w:hAnsi="Times New Roman"/>
          <w:sz w:val="28"/>
          <w:szCs w:val="28"/>
        </w:rPr>
        <w:t>:</w:t>
      </w:r>
    </w:p>
    <w:tbl>
      <w:tblPr>
        <w:tblW w:w="1078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56"/>
        <w:gridCol w:w="2982"/>
        <w:gridCol w:w="1842"/>
        <w:gridCol w:w="2127"/>
        <w:gridCol w:w="2409"/>
        <w:gridCol w:w="567"/>
      </w:tblGrid>
      <w:tr w:rsidR="00D150C3" w:rsidRPr="00D150C3" w:rsidTr="005E54D8">
        <w:trPr>
          <w:trHeight w:val="726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D48" w:rsidRPr="00D150C3" w:rsidRDefault="005E54D8" w:rsidP="008F608C">
            <w:pPr>
              <w:tabs>
                <w:tab w:val="left" w:pos="266"/>
              </w:tabs>
              <w:spacing w:after="0" w:line="235" w:lineRule="auto"/>
              <w:ind w:left="38" w:right="-266" w:hanging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8F60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3D48" w:rsidRPr="00D150C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48" w:rsidRPr="00D150C3" w:rsidRDefault="004C69AE" w:rsidP="003611B9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Оперативная память для сервера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48" w:rsidRPr="00D150C3" w:rsidRDefault="000C3D48" w:rsidP="003611B9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48" w:rsidRPr="00D150C3" w:rsidRDefault="004C69AE" w:rsidP="003611B9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По потребности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48" w:rsidRPr="00D150C3" w:rsidRDefault="000C3D48" w:rsidP="004C69AE">
            <w:pPr>
              <w:tabs>
                <w:tab w:val="left" w:pos="153"/>
              </w:tabs>
              <w:spacing w:after="0" w:line="235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4C69AE" w:rsidRPr="00D150C3">
              <w:rPr>
                <w:rFonts w:ascii="Times New Roman" w:hAnsi="Times New Roman"/>
                <w:sz w:val="28"/>
                <w:szCs w:val="28"/>
              </w:rPr>
              <w:t>19 218</w:t>
            </w:r>
            <w:r w:rsidRPr="00D150C3"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3D48" w:rsidRPr="00D150C3" w:rsidRDefault="00D61455" w:rsidP="003611B9">
            <w:pPr>
              <w:tabs>
                <w:tab w:val="left" w:pos="153"/>
              </w:tabs>
              <w:spacing w:after="0" w:line="235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3D48" w:rsidRPr="00D150C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4A40C9" w:rsidRPr="00D150C3" w:rsidRDefault="001822E4" w:rsidP="003611B9">
      <w:pPr>
        <w:pStyle w:val="aff0"/>
        <w:shd w:val="clear" w:color="auto" w:fill="FFFFFF"/>
        <w:tabs>
          <w:tab w:val="left" w:pos="709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D150C3">
        <w:rPr>
          <w:sz w:val="28"/>
          <w:szCs w:val="28"/>
        </w:rPr>
        <w:t>2</w:t>
      </w:r>
      <w:r w:rsidR="00384666" w:rsidRPr="00D150C3">
        <w:rPr>
          <w:sz w:val="28"/>
          <w:szCs w:val="28"/>
        </w:rPr>
        <w:t>.</w:t>
      </w:r>
      <w:r w:rsidR="00C91D92" w:rsidRPr="00D150C3">
        <w:rPr>
          <w:sz w:val="28"/>
          <w:szCs w:val="28"/>
        </w:rPr>
        <w:t> </w:t>
      </w:r>
      <w:r w:rsidR="00AE2DDF" w:rsidRPr="00D150C3">
        <w:rPr>
          <w:sz w:val="28"/>
          <w:szCs w:val="28"/>
        </w:rPr>
        <w:t>В</w:t>
      </w:r>
      <w:r w:rsidRPr="00D150C3">
        <w:rPr>
          <w:sz w:val="28"/>
          <w:szCs w:val="28"/>
        </w:rPr>
        <w:t xml:space="preserve"> разделе II «Прочие затраты»:</w:t>
      </w:r>
    </w:p>
    <w:p w:rsidR="00C44C14" w:rsidRPr="00D150C3" w:rsidRDefault="004C69AE" w:rsidP="003611B9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0C3">
        <w:rPr>
          <w:rFonts w:ascii="Times New Roman" w:hAnsi="Times New Roman"/>
          <w:sz w:val="28"/>
          <w:szCs w:val="28"/>
        </w:rPr>
        <w:t>1</w:t>
      </w:r>
      <w:r w:rsidR="00047856" w:rsidRPr="00D150C3">
        <w:rPr>
          <w:rFonts w:ascii="Times New Roman" w:hAnsi="Times New Roman"/>
          <w:sz w:val="28"/>
          <w:szCs w:val="28"/>
        </w:rPr>
        <w:t xml:space="preserve">) </w:t>
      </w:r>
      <w:r w:rsidR="00535E31" w:rsidRPr="00D150C3">
        <w:rPr>
          <w:rFonts w:ascii="Times New Roman" w:hAnsi="Times New Roman"/>
          <w:sz w:val="28"/>
          <w:szCs w:val="28"/>
        </w:rPr>
        <w:t>н</w:t>
      </w:r>
      <w:r w:rsidR="00F94987" w:rsidRPr="00D150C3">
        <w:rPr>
          <w:rFonts w:ascii="Times New Roman" w:hAnsi="Times New Roman"/>
          <w:sz w:val="28"/>
          <w:szCs w:val="28"/>
        </w:rPr>
        <w:t>ормативы на приобретение бытовой техники и прочих основных средств (для всех категорий и групп должностей)</w:t>
      </w:r>
      <w:r w:rsidR="00F94987" w:rsidRPr="00D150C3">
        <w:t xml:space="preserve"> </w:t>
      </w:r>
      <w:r w:rsidR="00535E31" w:rsidRPr="00D150C3">
        <w:rPr>
          <w:rFonts w:ascii="Times New Roman" w:hAnsi="Times New Roman"/>
          <w:sz w:val="28"/>
          <w:szCs w:val="28"/>
        </w:rPr>
        <w:t>подраздела 1.12</w:t>
      </w:r>
      <w:r w:rsidR="00535E31" w:rsidRPr="00D150C3">
        <w:t xml:space="preserve"> </w:t>
      </w:r>
      <w:r w:rsidR="00F94987" w:rsidRPr="00D150C3">
        <w:rPr>
          <w:rFonts w:ascii="Times New Roman" w:hAnsi="Times New Roman"/>
          <w:sz w:val="28"/>
          <w:szCs w:val="28"/>
        </w:rPr>
        <w:t>после строки, соответствующей наименованию «Подставка под огнетушитель П-15-К (400 x 190 x 190)», дополнить строкой следующего содержания:</w:t>
      </w:r>
    </w:p>
    <w:tbl>
      <w:tblPr>
        <w:tblStyle w:val="af5"/>
        <w:tblW w:w="10490" w:type="dxa"/>
        <w:tblInd w:w="-14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1"/>
        <w:gridCol w:w="2977"/>
        <w:gridCol w:w="2830"/>
        <w:gridCol w:w="1989"/>
        <w:gridCol w:w="1559"/>
        <w:gridCol w:w="704"/>
      </w:tblGrid>
      <w:tr w:rsidR="00D150C3" w:rsidRPr="00D150C3" w:rsidTr="007407F8">
        <w:trPr>
          <w:trHeight w:hRule="exact" w:val="933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BFC" w:rsidRPr="00D150C3" w:rsidRDefault="00787BFC" w:rsidP="00787BFC">
            <w:pPr>
              <w:spacing w:line="235" w:lineRule="auto"/>
              <w:ind w:left="-250" w:firstLine="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FC" w:rsidRPr="00D150C3" w:rsidRDefault="00787BFC" w:rsidP="00787BFC">
            <w:pPr>
              <w:spacing w:after="0" w:line="235" w:lineRule="auto"/>
              <w:ind w:right="-2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Рукав пожарный напорный</w:t>
            </w:r>
          </w:p>
        </w:tc>
        <w:tc>
          <w:tcPr>
            <w:tcW w:w="2830" w:type="dxa"/>
            <w:tcBorders>
              <w:left w:val="single" w:sz="4" w:space="0" w:color="auto"/>
            </w:tcBorders>
          </w:tcPr>
          <w:p w:rsidR="00787BFC" w:rsidRPr="00D150C3" w:rsidRDefault="00787BFC" w:rsidP="00787BFC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По потребности</w:t>
            </w: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:rsidR="00787BFC" w:rsidRPr="00D150C3" w:rsidRDefault="00787BFC" w:rsidP="00787BFC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3100,00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FC" w:rsidRPr="00D150C3" w:rsidRDefault="00787BFC" w:rsidP="00787BFC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BFC" w:rsidRPr="00D150C3" w:rsidRDefault="00787BFC" w:rsidP="00787BFC">
            <w:pPr>
              <w:spacing w:line="235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</w:p>
          <w:p w:rsidR="00787BFC" w:rsidRPr="00D150C3" w:rsidRDefault="00D61455" w:rsidP="00787BFC">
            <w:pPr>
              <w:spacing w:line="235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BFC" w:rsidRPr="00D150C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87BFC" w:rsidRPr="00D150C3" w:rsidRDefault="00787BFC" w:rsidP="00787BFC">
            <w:pPr>
              <w:tabs>
                <w:tab w:val="left" w:pos="181"/>
              </w:tabs>
              <w:spacing w:line="235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0B7F45" w:rsidRPr="00DE69C1" w:rsidRDefault="00F94987" w:rsidP="003611B9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B7F45" w:rsidRPr="00DE69C1">
        <w:rPr>
          <w:rFonts w:ascii="Times New Roman" w:hAnsi="Times New Roman"/>
          <w:sz w:val="28"/>
          <w:szCs w:val="28"/>
        </w:rPr>
        <w:t xml:space="preserve">) в подразделе 1.13 «Затраты на приобретение материальных запасов, не </w:t>
      </w:r>
      <w:r w:rsidR="000B7F45" w:rsidRPr="00DE69C1">
        <w:rPr>
          <w:rFonts w:ascii="Times New Roman" w:hAnsi="Times New Roman"/>
          <w:sz w:val="28"/>
          <w:szCs w:val="28"/>
        </w:rPr>
        <w:lastRenderedPageBreak/>
        <w:t>отнесенны</w:t>
      </w:r>
      <w:r w:rsidR="009C17C9" w:rsidRPr="00DE69C1">
        <w:rPr>
          <w:rFonts w:ascii="Times New Roman" w:hAnsi="Times New Roman"/>
          <w:sz w:val="28"/>
          <w:szCs w:val="28"/>
        </w:rPr>
        <w:t>е</w:t>
      </w:r>
      <w:r w:rsidR="000B7F45" w:rsidRPr="00DE69C1">
        <w:rPr>
          <w:rFonts w:ascii="Times New Roman" w:hAnsi="Times New Roman"/>
          <w:sz w:val="28"/>
          <w:szCs w:val="28"/>
        </w:rPr>
        <w:t xml:space="preserve"> к затратам на приобретение материальных запасов в рамках затрат на ИКТ»:</w:t>
      </w:r>
    </w:p>
    <w:p w:rsidR="000B7F45" w:rsidRPr="00DE69C1" w:rsidRDefault="00535E31" w:rsidP="003611B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 w:rsidR="00ED306A" w:rsidRPr="00DE69C1">
        <w:rPr>
          <w:rFonts w:ascii="Times New Roman" w:hAnsi="Times New Roman"/>
          <w:sz w:val="28"/>
          <w:szCs w:val="28"/>
        </w:rPr>
        <w:t xml:space="preserve">) </w:t>
      </w:r>
      <w:r w:rsidR="000B7F45" w:rsidRPr="00DE69C1">
        <w:rPr>
          <w:rFonts w:ascii="Times New Roman" w:hAnsi="Times New Roman"/>
          <w:sz w:val="28"/>
          <w:szCs w:val="28"/>
        </w:rPr>
        <w:t xml:space="preserve">нормативы на приобретение хозяйственных товаров и принадлежностей </w:t>
      </w:r>
      <w:r w:rsidR="000B7F45" w:rsidRPr="00DE69C1">
        <w:rPr>
          <w:rFonts w:ascii="Times New Roman" w:hAnsi="Times New Roman"/>
          <w:bCs/>
          <w:sz w:val="28"/>
          <w:szCs w:val="28"/>
        </w:rPr>
        <w:t xml:space="preserve">(для всех категорий и групп должностей) </w:t>
      </w:r>
      <w:r w:rsidR="00DB3D36" w:rsidRPr="00DE69C1">
        <w:rPr>
          <w:rFonts w:ascii="Times New Roman" w:hAnsi="Times New Roman"/>
          <w:bCs/>
          <w:sz w:val="28"/>
          <w:szCs w:val="28"/>
        </w:rPr>
        <w:t>после строки, соответствующей наименованию «</w:t>
      </w:r>
      <w:r w:rsidR="00F94987" w:rsidRPr="00F94987">
        <w:rPr>
          <w:rFonts w:ascii="Times New Roman" w:hAnsi="Times New Roman"/>
          <w:sz w:val="28"/>
          <w:szCs w:val="28"/>
        </w:rPr>
        <w:t>Перчатки трикотажные для защиты от внешних воздействий (от механических воздействий)</w:t>
      </w:r>
      <w:r w:rsidR="005D4A07" w:rsidRPr="00DE69C1">
        <w:rPr>
          <w:rFonts w:ascii="Times New Roman" w:hAnsi="Times New Roman"/>
          <w:sz w:val="28"/>
          <w:szCs w:val="28"/>
        </w:rPr>
        <w:t xml:space="preserve">», </w:t>
      </w:r>
      <w:r w:rsidR="000B7F45" w:rsidRPr="00DE69C1">
        <w:rPr>
          <w:rFonts w:ascii="Times New Roman" w:hAnsi="Times New Roman"/>
          <w:bCs/>
          <w:sz w:val="28"/>
          <w:szCs w:val="28"/>
        </w:rPr>
        <w:t>дополнить строками следующего содержания</w:t>
      </w:r>
      <w:r w:rsidR="009C17C9" w:rsidRPr="00DE69C1">
        <w:rPr>
          <w:rFonts w:ascii="Times New Roman" w:hAnsi="Times New Roman"/>
          <w:bCs/>
          <w:sz w:val="28"/>
          <w:szCs w:val="28"/>
        </w:rPr>
        <w:t>:</w:t>
      </w:r>
    </w:p>
    <w:tbl>
      <w:tblPr>
        <w:tblStyle w:val="af5"/>
        <w:tblW w:w="10490" w:type="dxa"/>
        <w:tblInd w:w="-14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1"/>
        <w:gridCol w:w="3822"/>
        <w:gridCol w:w="1985"/>
        <w:gridCol w:w="1989"/>
        <w:gridCol w:w="1559"/>
        <w:gridCol w:w="704"/>
      </w:tblGrid>
      <w:tr w:rsidR="00D150C3" w:rsidRPr="00D150C3" w:rsidTr="007407F8">
        <w:trPr>
          <w:cantSplit/>
          <w:trHeight w:val="726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513" w:rsidRPr="00D150C3" w:rsidRDefault="001E1513" w:rsidP="00D61455">
            <w:pPr>
              <w:tabs>
                <w:tab w:val="left" w:pos="323"/>
              </w:tabs>
              <w:spacing w:after="0" w:line="235" w:lineRule="auto"/>
              <w:ind w:left="-250" w:right="-2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513" w:rsidRPr="00D150C3" w:rsidRDefault="00D249D8" w:rsidP="003611B9">
            <w:pPr>
              <w:spacing w:after="0" w:line="235" w:lineRule="auto"/>
              <w:ind w:right="-2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Шейный платок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1513" w:rsidRPr="00D150C3" w:rsidRDefault="001E1513" w:rsidP="003611B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По потребности</w:t>
            </w: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:rsidR="001E1513" w:rsidRPr="00D150C3" w:rsidRDefault="00D249D8" w:rsidP="003611B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625</w:t>
            </w:r>
            <w:r w:rsidR="001E1513" w:rsidRPr="00D150C3"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513" w:rsidRPr="00D150C3" w:rsidRDefault="001E1513" w:rsidP="003611B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1513" w:rsidRPr="00D150C3" w:rsidRDefault="001E1513" w:rsidP="003611B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0C3" w:rsidRPr="00D150C3" w:rsidTr="007407F8">
        <w:trPr>
          <w:trHeight w:val="726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513" w:rsidRPr="00D150C3" w:rsidRDefault="001E1513" w:rsidP="003611B9">
            <w:pPr>
              <w:spacing w:line="235" w:lineRule="auto"/>
              <w:ind w:left="-250" w:firstLine="2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:rsidR="001E1513" w:rsidRPr="00D150C3" w:rsidRDefault="00D249D8" w:rsidP="003611B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Нагрудный значок-заколка</w:t>
            </w:r>
            <w:r w:rsidR="001E1513" w:rsidRPr="00D150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1513" w:rsidRPr="00D150C3" w:rsidRDefault="001E1513" w:rsidP="003611B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По потребности</w:t>
            </w: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:rsidR="001E1513" w:rsidRPr="00D150C3" w:rsidRDefault="00D249D8" w:rsidP="003611B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105</w:t>
            </w:r>
            <w:r w:rsidR="001E1513" w:rsidRPr="00D150C3"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1513" w:rsidRPr="00D150C3" w:rsidRDefault="001E1513" w:rsidP="003611B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1513" w:rsidRPr="00D150C3" w:rsidRDefault="001E1513" w:rsidP="003611B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0C3" w:rsidRPr="00D150C3" w:rsidTr="005C43E5">
        <w:trPr>
          <w:trHeight w:hRule="exact" w:val="850"/>
        </w:trPr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BFC" w:rsidRPr="00D150C3" w:rsidRDefault="00787BFC" w:rsidP="00787BFC">
            <w:pPr>
              <w:spacing w:line="235" w:lineRule="auto"/>
              <w:ind w:left="-250" w:firstLine="2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2" w:type="dxa"/>
            <w:tcBorders>
              <w:left w:val="single" w:sz="4" w:space="0" w:color="auto"/>
              <w:right w:val="single" w:sz="4" w:space="0" w:color="auto"/>
            </w:tcBorders>
          </w:tcPr>
          <w:p w:rsidR="00787BFC" w:rsidRPr="00D150C3" w:rsidRDefault="00787BFC" w:rsidP="00787BFC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Галстук с фирменным паттерном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7BFC" w:rsidRPr="00D150C3" w:rsidRDefault="00787BFC" w:rsidP="00787BFC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По п</w:t>
            </w:r>
            <w:bookmarkStart w:id="0" w:name="_GoBack"/>
            <w:bookmarkEnd w:id="0"/>
            <w:r w:rsidRPr="00D150C3">
              <w:rPr>
                <w:rFonts w:ascii="Times New Roman" w:hAnsi="Times New Roman"/>
                <w:sz w:val="28"/>
                <w:szCs w:val="28"/>
              </w:rPr>
              <w:t>отребности</w:t>
            </w:r>
          </w:p>
        </w:tc>
        <w:tc>
          <w:tcPr>
            <w:tcW w:w="1989" w:type="dxa"/>
            <w:tcBorders>
              <w:right w:val="single" w:sz="4" w:space="0" w:color="auto"/>
            </w:tcBorders>
          </w:tcPr>
          <w:p w:rsidR="00787BFC" w:rsidRPr="00D150C3" w:rsidRDefault="00787BFC" w:rsidP="00787BFC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910,00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FC" w:rsidRPr="00D150C3" w:rsidRDefault="00787BFC" w:rsidP="00787BFC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7BFC" w:rsidRPr="00D150C3" w:rsidRDefault="00787BFC" w:rsidP="00787BFC">
            <w:pPr>
              <w:spacing w:line="235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</w:p>
          <w:p w:rsidR="00787BFC" w:rsidRPr="00D150C3" w:rsidRDefault="005C43E5" w:rsidP="00787BFC">
            <w:pPr>
              <w:spacing w:line="235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»;</w:t>
            </w:r>
          </w:p>
          <w:p w:rsidR="00787BFC" w:rsidRPr="00D150C3" w:rsidRDefault="00D61455" w:rsidP="005C43E5">
            <w:pPr>
              <w:tabs>
                <w:tab w:val="left" w:pos="181"/>
              </w:tabs>
              <w:spacing w:line="235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35E31" w:rsidRPr="00D150C3" w:rsidRDefault="00535E31" w:rsidP="00535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50C3">
        <w:rPr>
          <w:rFonts w:ascii="Times New Roman" w:hAnsi="Times New Roman"/>
          <w:sz w:val="28"/>
          <w:szCs w:val="28"/>
        </w:rPr>
        <w:t>б</w:t>
      </w:r>
      <w:proofErr w:type="gramEnd"/>
      <w:r w:rsidRPr="00D150C3">
        <w:rPr>
          <w:rFonts w:ascii="Times New Roman" w:hAnsi="Times New Roman"/>
          <w:sz w:val="28"/>
          <w:szCs w:val="28"/>
        </w:rPr>
        <w:t xml:space="preserve">) в нормативах на приобретение материальных запасов для нужд гражданской обороны (для всех категорий и групп должностей) </w:t>
      </w:r>
      <w:hyperlink r:id="rId14" w:history="1">
        <w:r w:rsidRPr="00D150C3">
          <w:rPr>
            <w:rFonts w:ascii="Times New Roman" w:hAnsi="Times New Roman"/>
            <w:sz w:val="28"/>
            <w:szCs w:val="28"/>
          </w:rPr>
          <w:t>строку</w:t>
        </w:r>
      </w:hyperlink>
      <w:r w:rsidRPr="00D150C3">
        <w:rPr>
          <w:rFonts w:ascii="Times New Roman" w:hAnsi="Times New Roman"/>
          <w:sz w:val="28"/>
          <w:szCs w:val="28"/>
        </w:rPr>
        <w:t>, соответствующую наименованию «Аптечка индивидуальная», изложить в следующей редакции:</w:t>
      </w: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3402"/>
        <w:gridCol w:w="2552"/>
        <w:gridCol w:w="2976"/>
        <w:gridCol w:w="567"/>
      </w:tblGrid>
      <w:tr w:rsidR="00D150C3" w:rsidRPr="00D150C3" w:rsidTr="007407F8">
        <w:trPr>
          <w:trHeight w:val="726"/>
        </w:trPr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35E31" w:rsidRPr="00D150C3" w:rsidRDefault="00535E31" w:rsidP="0077378E">
            <w:pPr>
              <w:spacing w:after="0" w:line="235" w:lineRule="auto"/>
              <w:ind w:left="-250" w:right="-266" w:hanging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 xml:space="preserve">«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31" w:rsidRPr="00D150C3" w:rsidRDefault="00535E31" w:rsidP="0077378E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31" w:rsidRPr="00D150C3" w:rsidRDefault="00D150C3" w:rsidP="0077378E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Аптечка для оказания работниками первой помощи пострадавшим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31" w:rsidRPr="00D150C3" w:rsidRDefault="00535E31" w:rsidP="00D150C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1 шт.</w:t>
            </w:r>
            <w:r w:rsidR="00D150C3" w:rsidRPr="00D150C3">
              <w:rPr>
                <w:rFonts w:ascii="Times New Roman" w:hAnsi="Times New Roman"/>
                <w:sz w:val="28"/>
                <w:szCs w:val="28"/>
              </w:rPr>
              <w:t xml:space="preserve"> (не более, чем на 40 человек)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31" w:rsidRPr="00D150C3" w:rsidRDefault="00535E31" w:rsidP="00535E31">
            <w:pPr>
              <w:tabs>
                <w:tab w:val="left" w:pos="153"/>
              </w:tabs>
              <w:spacing w:after="0" w:line="235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0C3">
              <w:rPr>
                <w:rFonts w:ascii="Times New Roman" w:hAnsi="Times New Roman"/>
                <w:sz w:val="28"/>
                <w:szCs w:val="28"/>
              </w:rPr>
              <w:t>Не более 1 600,00 руб.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35E31" w:rsidRPr="00D150C3" w:rsidRDefault="00D61455" w:rsidP="0077378E">
            <w:pPr>
              <w:tabs>
                <w:tab w:val="left" w:pos="153"/>
              </w:tabs>
              <w:spacing w:after="0" w:line="235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5E31" w:rsidRPr="00D150C3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535E31" w:rsidRDefault="00535E31" w:rsidP="00535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5C98" w:rsidRDefault="00B15C98" w:rsidP="003611B9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9C17C9" w:rsidRPr="00DE69C1" w:rsidRDefault="009C17C9" w:rsidP="003611B9">
      <w:pPr>
        <w:autoSpaceDE w:val="0"/>
        <w:autoSpaceDN w:val="0"/>
        <w:adjustRightInd w:val="0"/>
        <w:spacing w:after="0" w:line="235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A40C9" w:rsidRDefault="001822E4" w:rsidP="003611B9">
      <w:pPr>
        <w:pStyle w:val="ConsPlusTitle"/>
        <w:spacing w:line="235" w:lineRule="auto"/>
        <w:rPr>
          <w:rFonts w:ascii="Times New Roman" w:hAnsi="Times New Roman"/>
          <w:b w:val="0"/>
          <w:sz w:val="28"/>
          <w:szCs w:val="28"/>
        </w:rPr>
      </w:pPr>
      <w:r w:rsidRPr="00DE69C1">
        <w:rPr>
          <w:rFonts w:ascii="Times New Roman" w:hAnsi="Times New Roman"/>
          <w:b w:val="0"/>
          <w:sz w:val="28"/>
          <w:szCs w:val="28"/>
        </w:rPr>
        <w:t xml:space="preserve">Министр                                                                                                      Е.В. </w:t>
      </w:r>
      <w:proofErr w:type="spellStart"/>
      <w:r w:rsidRPr="00DE69C1">
        <w:rPr>
          <w:rFonts w:ascii="Times New Roman" w:hAnsi="Times New Roman"/>
          <w:b w:val="0"/>
          <w:sz w:val="28"/>
          <w:szCs w:val="28"/>
        </w:rPr>
        <w:t>Бахарева</w:t>
      </w:r>
      <w:proofErr w:type="spellEnd"/>
    </w:p>
    <w:p w:rsidR="004A40C9" w:rsidRDefault="004A40C9" w:rsidP="003611B9">
      <w:pPr>
        <w:pStyle w:val="ConsPlusTitle"/>
        <w:spacing w:line="235" w:lineRule="auto"/>
        <w:rPr>
          <w:rFonts w:ascii="Times New Roman" w:hAnsi="Times New Roman"/>
          <w:b w:val="0"/>
          <w:sz w:val="20"/>
        </w:rPr>
      </w:pPr>
    </w:p>
    <w:sectPr w:rsidR="004A40C9" w:rsidSect="00E84EB3">
      <w:headerReference w:type="default" r:id="rId15"/>
      <w:type w:val="continuous"/>
      <w:pgSz w:w="11907" w:h="1683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E8D" w:rsidRDefault="00B61E8D">
      <w:pPr>
        <w:spacing w:after="0" w:line="240" w:lineRule="auto"/>
      </w:pPr>
      <w:r>
        <w:separator/>
      </w:r>
    </w:p>
  </w:endnote>
  <w:endnote w:type="continuationSeparator" w:id="0">
    <w:p w:rsidR="00B61E8D" w:rsidRDefault="00B6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E8D" w:rsidRDefault="00B61E8D">
      <w:pPr>
        <w:spacing w:after="0" w:line="240" w:lineRule="auto"/>
      </w:pPr>
      <w:r>
        <w:separator/>
      </w:r>
    </w:p>
  </w:footnote>
  <w:footnote w:type="continuationSeparator" w:id="0">
    <w:p w:rsidR="00B61E8D" w:rsidRDefault="00B6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0C9" w:rsidRDefault="004A40C9">
    <w:pPr>
      <w:pStyle w:val="af7"/>
      <w:ind w:firstLine="0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749812897"/>
      <w:docPartObj>
        <w:docPartGallery w:val="Page Numbers (Top of Page)"/>
        <w:docPartUnique/>
      </w:docPartObj>
    </w:sdtPr>
    <w:sdtEndPr/>
    <w:sdtContent>
      <w:p w:rsidR="004A40C9" w:rsidRDefault="001822E4">
        <w:pPr>
          <w:pStyle w:val="af7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 w:rsidR="005C43E5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 w:rsidR="004A40C9" w:rsidRDefault="004A40C9">
    <w:pPr>
      <w:pStyle w:val="af7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E7360"/>
    <w:multiLevelType w:val="hybridMultilevel"/>
    <w:tmpl w:val="1A220D6C"/>
    <w:lvl w:ilvl="0" w:tplc="2DB24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C8E6FFA">
      <w:start w:val="1"/>
      <w:numFmt w:val="lowerLetter"/>
      <w:lvlText w:val="%2."/>
      <w:lvlJc w:val="left"/>
      <w:pPr>
        <w:ind w:left="1789" w:hanging="360"/>
      </w:pPr>
    </w:lvl>
    <w:lvl w:ilvl="2" w:tplc="4EA0B034">
      <w:start w:val="1"/>
      <w:numFmt w:val="lowerRoman"/>
      <w:lvlText w:val="%3."/>
      <w:lvlJc w:val="right"/>
      <w:pPr>
        <w:ind w:left="2509" w:hanging="180"/>
      </w:pPr>
    </w:lvl>
    <w:lvl w:ilvl="3" w:tplc="6D04A5EC">
      <w:start w:val="1"/>
      <w:numFmt w:val="decimal"/>
      <w:lvlText w:val="%4."/>
      <w:lvlJc w:val="left"/>
      <w:pPr>
        <w:ind w:left="3229" w:hanging="360"/>
      </w:pPr>
    </w:lvl>
    <w:lvl w:ilvl="4" w:tplc="F2AAE2A8">
      <w:start w:val="1"/>
      <w:numFmt w:val="lowerLetter"/>
      <w:lvlText w:val="%5."/>
      <w:lvlJc w:val="left"/>
      <w:pPr>
        <w:ind w:left="3949" w:hanging="360"/>
      </w:pPr>
    </w:lvl>
    <w:lvl w:ilvl="5" w:tplc="CE4CCCC2">
      <w:start w:val="1"/>
      <w:numFmt w:val="lowerRoman"/>
      <w:lvlText w:val="%6."/>
      <w:lvlJc w:val="right"/>
      <w:pPr>
        <w:ind w:left="4669" w:hanging="180"/>
      </w:pPr>
    </w:lvl>
    <w:lvl w:ilvl="6" w:tplc="A9FA476C">
      <w:start w:val="1"/>
      <w:numFmt w:val="decimal"/>
      <w:lvlText w:val="%7."/>
      <w:lvlJc w:val="left"/>
      <w:pPr>
        <w:ind w:left="5389" w:hanging="360"/>
      </w:pPr>
    </w:lvl>
    <w:lvl w:ilvl="7" w:tplc="919A3518">
      <w:start w:val="1"/>
      <w:numFmt w:val="lowerLetter"/>
      <w:lvlText w:val="%8."/>
      <w:lvlJc w:val="left"/>
      <w:pPr>
        <w:ind w:left="6109" w:hanging="360"/>
      </w:pPr>
    </w:lvl>
    <w:lvl w:ilvl="8" w:tplc="6BE8FAD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922E06"/>
    <w:multiLevelType w:val="hybridMultilevel"/>
    <w:tmpl w:val="23561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D6A34"/>
    <w:multiLevelType w:val="hybridMultilevel"/>
    <w:tmpl w:val="54BC2A74"/>
    <w:lvl w:ilvl="0" w:tplc="1FCA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3620C68">
      <w:start w:val="1"/>
      <w:numFmt w:val="lowerLetter"/>
      <w:lvlText w:val="%2."/>
      <w:lvlJc w:val="left"/>
      <w:pPr>
        <w:ind w:left="1789" w:hanging="360"/>
      </w:pPr>
    </w:lvl>
    <w:lvl w:ilvl="2" w:tplc="5D3E9406">
      <w:start w:val="1"/>
      <w:numFmt w:val="lowerRoman"/>
      <w:lvlText w:val="%3."/>
      <w:lvlJc w:val="right"/>
      <w:pPr>
        <w:ind w:left="2509" w:hanging="180"/>
      </w:pPr>
    </w:lvl>
    <w:lvl w:ilvl="3" w:tplc="2E3C333A">
      <w:start w:val="1"/>
      <w:numFmt w:val="decimal"/>
      <w:lvlText w:val="%4."/>
      <w:lvlJc w:val="left"/>
      <w:pPr>
        <w:ind w:left="3229" w:hanging="360"/>
      </w:pPr>
    </w:lvl>
    <w:lvl w:ilvl="4" w:tplc="898EA6C8">
      <w:start w:val="1"/>
      <w:numFmt w:val="lowerLetter"/>
      <w:lvlText w:val="%5."/>
      <w:lvlJc w:val="left"/>
      <w:pPr>
        <w:ind w:left="3949" w:hanging="360"/>
      </w:pPr>
    </w:lvl>
    <w:lvl w:ilvl="5" w:tplc="BFB28B32">
      <w:start w:val="1"/>
      <w:numFmt w:val="lowerRoman"/>
      <w:lvlText w:val="%6."/>
      <w:lvlJc w:val="right"/>
      <w:pPr>
        <w:ind w:left="4669" w:hanging="180"/>
      </w:pPr>
    </w:lvl>
    <w:lvl w:ilvl="6" w:tplc="6126578E">
      <w:start w:val="1"/>
      <w:numFmt w:val="decimal"/>
      <w:lvlText w:val="%7."/>
      <w:lvlJc w:val="left"/>
      <w:pPr>
        <w:ind w:left="5389" w:hanging="360"/>
      </w:pPr>
    </w:lvl>
    <w:lvl w:ilvl="7" w:tplc="7E8EB26E">
      <w:start w:val="1"/>
      <w:numFmt w:val="lowerLetter"/>
      <w:lvlText w:val="%8."/>
      <w:lvlJc w:val="left"/>
      <w:pPr>
        <w:ind w:left="6109" w:hanging="360"/>
      </w:pPr>
    </w:lvl>
    <w:lvl w:ilvl="8" w:tplc="BB786C1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801C6E"/>
    <w:multiLevelType w:val="hybridMultilevel"/>
    <w:tmpl w:val="8B387B2C"/>
    <w:lvl w:ilvl="0" w:tplc="FACAC0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4F5ABA"/>
    <w:multiLevelType w:val="hybridMultilevel"/>
    <w:tmpl w:val="480E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3E68"/>
    <w:multiLevelType w:val="hybridMultilevel"/>
    <w:tmpl w:val="DDD6EE4C"/>
    <w:lvl w:ilvl="0" w:tplc="730AB80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8D2DC74">
      <w:start w:val="1"/>
      <w:numFmt w:val="lowerLetter"/>
      <w:lvlText w:val="%2."/>
      <w:lvlJc w:val="left"/>
      <w:pPr>
        <w:ind w:left="1789" w:hanging="360"/>
      </w:pPr>
    </w:lvl>
    <w:lvl w:ilvl="2" w:tplc="FF24C704">
      <w:start w:val="1"/>
      <w:numFmt w:val="lowerRoman"/>
      <w:lvlText w:val="%3."/>
      <w:lvlJc w:val="right"/>
      <w:pPr>
        <w:ind w:left="2509" w:hanging="180"/>
      </w:pPr>
    </w:lvl>
    <w:lvl w:ilvl="3" w:tplc="69684000">
      <w:start w:val="1"/>
      <w:numFmt w:val="decimal"/>
      <w:lvlText w:val="%4."/>
      <w:lvlJc w:val="left"/>
      <w:pPr>
        <w:ind w:left="3229" w:hanging="360"/>
      </w:pPr>
    </w:lvl>
    <w:lvl w:ilvl="4" w:tplc="B840F95C">
      <w:start w:val="1"/>
      <w:numFmt w:val="lowerLetter"/>
      <w:lvlText w:val="%5."/>
      <w:lvlJc w:val="left"/>
      <w:pPr>
        <w:ind w:left="3949" w:hanging="360"/>
      </w:pPr>
    </w:lvl>
    <w:lvl w:ilvl="5" w:tplc="0BB451BA">
      <w:start w:val="1"/>
      <w:numFmt w:val="lowerRoman"/>
      <w:lvlText w:val="%6."/>
      <w:lvlJc w:val="right"/>
      <w:pPr>
        <w:ind w:left="4669" w:hanging="180"/>
      </w:pPr>
    </w:lvl>
    <w:lvl w:ilvl="6" w:tplc="D5EAF4EC">
      <w:start w:val="1"/>
      <w:numFmt w:val="decimal"/>
      <w:lvlText w:val="%7."/>
      <w:lvlJc w:val="left"/>
      <w:pPr>
        <w:ind w:left="5389" w:hanging="360"/>
      </w:pPr>
    </w:lvl>
    <w:lvl w:ilvl="7" w:tplc="AD309F74">
      <w:start w:val="1"/>
      <w:numFmt w:val="lowerLetter"/>
      <w:lvlText w:val="%8."/>
      <w:lvlJc w:val="left"/>
      <w:pPr>
        <w:ind w:left="6109" w:hanging="360"/>
      </w:pPr>
    </w:lvl>
    <w:lvl w:ilvl="8" w:tplc="ABF8C684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F61FC8"/>
    <w:multiLevelType w:val="hybridMultilevel"/>
    <w:tmpl w:val="CA2EE70C"/>
    <w:lvl w:ilvl="0" w:tplc="726C32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63AC638">
      <w:start w:val="1"/>
      <w:numFmt w:val="lowerLetter"/>
      <w:lvlText w:val="%2."/>
      <w:lvlJc w:val="left"/>
      <w:pPr>
        <w:ind w:left="1789" w:hanging="360"/>
      </w:pPr>
    </w:lvl>
    <w:lvl w:ilvl="2" w:tplc="E494A920">
      <w:start w:val="1"/>
      <w:numFmt w:val="lowerRoman"/>
      <w:lvlText w:val="%3."/>
      <w:lvlJc w:val="right"/>
      <w:pPr>
        <w:ind w:left="2509" w:hanging="180"/>
      </w:pPr>
    </w:lvl>
    <w:lvl w:ilvl="3" w:tplc="C8B45674">
      <w:start w:val="1"/>
      <w:numFmt w:val="decimal"/>
      <w:lvlText w:val="%4."/>
      <w:lvlJc w:val="left"/>
      <w:pPr>
        <w:ind w:left="3229" w:hanging="360"/>
      </w:pPr>
    </w:lvl>
    <w:lvl w:ilvl="4" w:tplc="0066B038">
      <w:start w:val="1"/>
      <w:numFmt w:val="lowerLetter"/>
      <w:lvlText w:val="%5."/>
      <w:lvlJc w:val="left"/>
      <w:pPr>
        <w:ind w:left="3949" w:hanging="360"/>
      </w:pPr>
    </w:lvl>
    <w:lvl w:ilvl="5" w:tplc="ED486708">
      <w:start w:val="1"/>
      <w:numFmt w:val="lowerRoman"/>
      <w:lvlText w:val="%6."/>
      <w:lvlJc w:val="right"/>
      <w:pPr>
        <w:ind w:left="4669" w:hanging="180"/>
      </w:pPr>
    </w:lvl>
    <w:lvl w:ilvl="6" w:tplc="3BC8CD5C">
      <w:start w:val="1"/>
      <w:numFmt w:val="decimal"/>
      <w:lvlText w:val="%7."/>
      <w:lvlJc w:val="left"/>
      <w:pPr>
        <w:ind w:left="5389" w:hanging="360"/>
      </w:pPr>
    </w:lvl>
    <w:lvl w:ilvl="7" w:tplc="F6CEDEEA">
      <w:start w:val="1"/>
      <w:numFmt w:val="lowerLetter"/>
      <w:lvlText w:val="%8."/>
      <w:lvlJc w:val="left"/>
      <w:pPr>
        <w:ind w:left="6109" w:hanging="360"/>
      </w:pPr>
    </w:lvl>
    <w:lvl w:ilvl="8" w:tplc="5C00EFB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875D44"/>
    <w:multiLevelType w:val="hybridMultilevel"/>
    <w:tmpl w:val="D4BE072A"/>
    <w:lvl w:ilvl="0" w:tplc="E938A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7017A55"/>
    <w:multiLevelType w:val="hybridMultilevel"/>
    <w:tmpl w:val="3A3C7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771AE"/>
    <w:multiLevelType w:val="hybridMultilevel"/>
    <w:tmpl w:val="39F49BDA"/>
    <w:lvl w:ilvl="0" w:tplc="5F6E920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0F4E07"/>
    <w:multiLevelType w:val="hybridMultilevel"/>
    <w:tmpl w:val="7888744E"/>
    <w:lvl w:ilvl="0" w:tplc="FF305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151DC4"/>
    <w:multiLevelType w:val="hybridMultilevel"/>
    <w:tmpl w:val="8034E452"/>
    <w:lvl w:ilvl="0" w:tplc="545826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2992D4A"/>
    <w:multiLevelType w:val="hybridMultilevel"/>
    <w:tmpl w:val="1272E47E"/>
    <w:lvl w:ilvl="0" w:tplc="8E3E6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AB0B9D"/>
    <w:multiLevelType w:val="hybridMultilevel"/>
    <w:tmpl w:val="953CAB48"/>
    <w:lvl w:ilvl="0" w:tplc="87D6A1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541040C"/>
    <w:multiLevelType w:val="hybridMultilevel"/>
    <w:tmpl w:val="21CA9894"/>
    <w:lvl w:ilvl="0" w:tplc="460EF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11"/>
  </w:num>
  <w:num w:numId="12">
    <w:abstractNumId w:val="3"/>
  </w:num>
  <w:num w:numId="13">
    <w:abstractNumId w:val="1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C9"/>
    <w:rsid w:val="00000745"/>
    <w:rsid w:val="0000283A"/>
    <w:rsid w:val="00004731"/>
    <w:rsid w:val="000057EC"/>
    <w:rsid w:val="00013984"/>
    <w:rsid w:val="000142E5"/>
    <w:rsid w:val="000314D6"/>
    <w:rsid w:val="00037BD6"/>
    <w:rsid w:val="00047856"/>
    <w:rsid w:val="0005173D"/>
    <w:rsid w:val="00052CB7"/>
    <w:rsid w:val="00065BBA"/>
    <w:rsid w:val="000801D2"/>
    <w:rsid w:val="000805CA"/>
    <w:rsid w:val="000B3C2E"/>
    <w:rsid w:val="000B4101"/>
    <w:rsid w:val="000B5518"/>
    <w:rsid w:val="000B7F45"/>
    <w:rsid w:val="000C3D48"/>
    <w:rsid w:val="000D6105"/>
    <w:rsid w:val="000D6D7D"/>
    <w:rsid w:val="000D7136"/>
    <w:rsid w:val="000E6651"/>
    <w:rsid w:val="001001F3"/>
    <w:rsid w:val="0010514D"/>
    <w:rsid w:val="001215F4"/>
    <w:rsid w:val="00121ABB"/>
    <w:rsid w:val="00122705"/>
    <w:rsid w:val="00130E18"/>
    <w:rsid w:val="0014267A"/>
    <w:rsid w:val="00145353"/>
    <w:rsid w:val="00152BC9"/>
    <w:rsid w:val="00155B81"/>
    <w:rsid w:val="00156F94"/>
    <w:rsid w:val="001570EE"/>
    <w:rsid w:val="0016519D"/>
    <w:rsid w:val="001712F0"/>
    <w:rsid w:val="001729DF"/>
    <w:rsid w:val="00177898"/>
    <w:rsid w:val="001822E4"/>
    <w:rsid w:val="0019195B"/>
    <w:rsid w:val="001B2B75"/>
    <w:rsid w:val="001B4E71"/>
    <w:rsid w:val="001B558B"/>
    <w:rsid w:val="001C6F88"/>
    <w:rsid w:val="001D0E78"/>
    <w:rsid w:val="001D193A"/>
    <w:rsid w:val="001D30AA"/>
    <w:rsid w:val="001E1513"/>
    <w:rsid w:val="001E2BB3"/>
    <w:rsid w:val="001F5FB5"/>
    <w:rsid w:val="00211EC9"/>
    <w:rsid w:val="00213C6A"/>
    <w:rsid w:val="0024080E"/>
    <w:rsid w:val="00240CBF"/>
    <w:rsid w:val="0024477F"/>
    <w:rsid w:val="002508F6"/>
    <w:rsid w:val="00264319"/>
    <w:rsid w:val="00266ED7"/>
    <w:rsid w:val="00277BE0"/>
    <w:rsid w:val="00295F60"/>
    <w:rsid w:val="002A5BF4"/>
    <w:rsid w:val="002B0A61"/>
    <w:rsid w:val="002B20ED"/>
    <w:rsid w:val="002B5C21"/>
    <w:rsid w:val="002B7055"/>
    <w:rsid w:val="002C09B2"/>
    <w:rsid w:val="002D7403"/>
    <w:rsid w:val="002D7DA5"/>
    <w:rsid w:val="002E011D"/>
    <w:rsid w:val="002E2EC0"/>
    <w:rsid w:val="002E362E"/>
    <w:rsid w:val="003045BB"/>
    <w:rsid w:val="003170B7"/>
    <w:rsid w:val="00322772"/>
    <w:rsid w:val="00331EEB"/>
    <w:rsid w:val="00335DE4"/>
    <w:rsid w:val="00341382"/>
    <w:rsid w:val="003461B6"/>
    <w:rsid w:val="00347949"/>
    <w:rsid w:val="00360295"/>
    <w:rsid w:val="003611B9"/>
    <w:rsid w:val="003615AA"/>
    <w:rsid w:val="00361675"/>
    <w:rsid w:val="00366BC4"/>
    <w:rsid w:val="00370133"/>
    <w:rsid w:val="00380C16"/>
    <w:rsid w:val="00384666"/>
    <w:rsid w:val="003A20D7"/>
    <w:rsid w:val="003B6F76"/>
    <w:rsid w:val="003B7897"/>
    <w:rsid w:val="003C0CB6"/>
    <w:rsid w:val="003C3137"/>
    <w:rsid w:val="003C36F2"/>
    <w:rsid w:val="003C40CE"/>
    <w:rsid w:val="003C4391"/>
    <w:rsid w:val="003C4619"/>
    <w:rsid w:val="003D6133"/>
    <w:rsid w:val="003F72B9"/>
    <w:rsid w:val="004041D6"/>
    <w:rsid w:val="00405C76"/>
    <w:rsid w:val="00413F53"/>
    <w:rsid w:val="00432D50"/>
    <w:rsid w:val="0044271B"/>
    <w:rsid w:val="0045073D"/>
    <w:rsid w:val="00455193"/>
    <w:rsid w:val="00456FE4"/>
    <w:rsid w:val="0046036E"/>
    <w:rsid w:val="00460939"/>
    <w:rsid w:val="00465205"/>
    <w:rsid w:val="00467EE8"/>
    <w:rsid w:val="00476B52"/>
    <w:rsid w:val="004A40C9"/>
    <w:rsid w:val="004A5D01"/>
    <w:rsid w:val="004A72B2"/>
    <w:rsid w:val="004C69AE"/>
    <w:rsid w:val="004D507F"/>
    <w:rsid w:val="004E2CA3"/>
    <w:rsid w:val="004F629B"/>
    <w:rsid w:val="005014A8"/>
    <w:rsid w:val="005021D5"/>
    <w:rsid w:val="005135B3"/>
    <w:rsid w:val="00523CB7"/>
    <w:rsid w:val="00534A8C"/>
    <w:rsid w:val="00535E31"/>
    <w:rsid w:val="005518F6"/>
    <w:rsid w:val="00555D04"/>
    <w:rsid w:val="005560FD"/>
    <w:rsid w:val="00556498"/>
    <w:rsid w:val="00561940"/>
    <w:rsid w:val="00561A9F"/>
    <w:rsid w:val="0056263A"/>
    <w:rsid w:val="005730F0"/>
    <w:rsid w:val="005738A6"/>
    <w:rsid w:val="00576DA8"/>
    <w:rsid w:val="00583830"/>
    <w:rsid w:val="005907D8"/>
    <w:rsid w:val="00591F3A"/>
    <w:rsid w:val="00596EAF"/>
    <w:rsid w:val="005A622B"/>
    <w:rsid w:val="005A6A0F"/>
    <w:rsid w:val="005C103E"/>
    <w:rsid w:val="005C1646"/>
    <w:rsid w:val="005C43E5"/>
    <w:rsid w:val="005C581A"/>
    <w:rsid w:val="005C5912"/>
    <w:rsid w:val="005D2685"/>
    <w:rsid w:val="005D4A07"/>
    <w:rsid w:val="005D4D61"/>
    <w:rsid w:val="005E54D8"/>
    <w:rsid w:val="005F4E07"/>
    <w:rsid w:val="006051BE"/>
    <w:rsid w:val="00617203"/>
    <w:rsid w:val="00644C90"/>
    <w:rsid w:val="00645D7B"/>
    <w:rsid w:val="00652CAE"/>
    <w:rsid w:val="00652DEE"/>
    <w:rsid w:val="006553E2"/>
    <w:rsid w:val="00655C1A"/>
    <w:rsid w:val="00657407"/>
    <w:rsid w:val="00670E45"/>
    <w:rsid w:val="006775B4"/>
    <w:rsid w:val="00690216"/>
    <w:rsid w:val="00697757"/>
    <w:rsid w:val="006A38CF"/>
    <w:rsid w:val="006F1815"/>
    <w:rsid w:val="006F27E2"/>
    <w:rsid w:val="006F30B5"/>
    <w:rsid w:val="006F6122"/>
    <w:rsid w:val="00707E16"/>
    <w:rsid w:val="00707ED3"/>
    <w:rsid w:val="0072480C"/>
    <w:rsid w:val="00731A33"/>
    <w:rsid w:val="0073612D"/>
    <w:rsid w:val="007407F8"/>
    <w:rsid w:val="00760919"/>
    <w:rsid w:val="00776BD7"/>
    <w:rsid w:val="00785699"/>
    <w:rsid w:val="00787BFC"/>
    <w:rsid w:val="00793B8E"/>
    <w:rsid w:val="00796779"/>
    <w:rsid w:val="00796908"/>
    <w:rsid w:val="007A601D"/>
    <w:rsid w:val="007B15D7"/>
    <w:rsid w:val="007E2669"/>
    <w:rsid w:val="007F0726"/>
    <w:rsid w:val="007F09CF"/>
    <w:rsid w:val="00803FD2"/>
    <w:rsid w:val="008065E6"/>
    <w:rsid w:val="008125D2"/>
    <w:rsid w:val="008156E3"/>
    <w:rsid w:val="008206CE"/>
    <w:rsid w:val="008214DF"/>
    <w:rsid w:val="008254D3"/>
    <w:rsid w:val="0084059D"/>
    <w:rsid w:val="00840870"/>
    <w:rsid w:val="00851898"/>
    <w:rsid w:val="00854ECD"/>
    <w:rsid w:val="0085577A"/>
    <w:rsid w:val="00864FEE"/>
    <w:rsid w:val="00870FA7"/>
    <w:rsid w:val="00871B27"/>
    <w:rsid w:val="008933E2"/>
    <w:rsid w:val="008A44CA"/>
    <w:rsid w:val="008B0997"/>
    <w:rsid w:val="008E2F3A"/>
    <w:rsid w:val="008E664B"/>
    <w:rsid w:val="008E6BFC"/>
    <w:rsid w:val="008F5DD7"/>
    <w:rsid w:val="008F608C"/>
    <w:rsid w:val="009037C5"/>
    <w:rsid w:val="00906618"/>
    <w:rsid w:val="00910EFC"/>
    <w:rsid w:val="009133EB"/>
    <w:rsid w:val="009155B6"/>
    <w:rsid w:val="0092160D"/>
    <w:rsid w:val="00921A5D"/>
    <w:rsid w:val="00933968"/>
    <w:rsid w:val="009569E0"/>
    <w:rsid w:val="00960CB0"/>
    <w:rsid w:val="00961546"/>
    <w:rsid w:val="009754AE"/>
    <w:rsid w:val="00986ED5"/>
    <w:rsid w:val="00997186"/>
    <w:rsid w:val="009A0734"/>
    <w:rsid w:val="009A1442"/>
    <w:rsid w:val="009A7AE5"/>
    <w:rsid w:val="009B2517"/>
    <w:rsid w:val="009B50E9"/>
    <w:rsid w:val="009C17C9"/>
    <w:rsid w:val="009D0E0D"/>
    <w:rsid w:val="009D301D"/>
    <w:rsid w:val="009D4311"/>
    <w:rsid w:val="009E21E1"/>
    <w:rsid w:val="00A044FE"/>
    <w:rsid w:val="00A07E18"/>
    <w:rsid w:val="00A10EA3"/>
    <w:rsid w:val="00A15CEE"/>
    <w:rsid w:val="00A237B3"/>
    <w:rsid w:val="00A31778"/>
    <w:rsid w:val="00A34E5E"/>
    <w:rsid w:val="00A50FEF"/>
    <w:rsid w:val="00A52493"/>
    <w:rsid w:val="00A56659"/>
    <w:rsid w:val="00A7144D"/>
    <w:rsid w:val="00A77204"/>
    <w:rsid w:val="00AA21B1"/>
    <w:rsid w:val="00AA619F"/>
    <w:rsid w:val="00AC72EA"/>
    <w:rsid w:val="00AD3BB0"/>
    <w:rsid w:val="00AD6551"/>
    <w:rsid w:val="00AE018E"/>
    <w:rsid w:val="00AE0CCE"/>
    <w:rsid w:val="00AE1B5B"/>
    <w:rsid w:val="00AE26EC"/>
    <w:rsid w:val="00AE2DDF"/>
    <w:rsid w:val="00AE4255"/>
    <w:rsid w:val="00AE6759"/>
    <w:rsid w:val="00AF0957"/>
    <w:rsid w:val="00AF1CDD"/>
    <w:rsid w:val="00AF5B5B"/>
    <w:rsid w:val="00AF737C"/>
    <w:rsid w:val="00B0218A"/>
    <w:rsid w:val="00B15C98"/>
    <w:rsid w:val="00B175DA"/>
    <w:rsid w:val="00B35923"/>
    <w:rsid w:val="00B35AB1"/>
    <w:rsid w:val="00B35DDC"/>
    <w:rsid w:val="00B37DA6"/>
    <w:rsid w:val="00B43A89"/>
    <w:rsid w:val="00B44716"/>
    <w:rsid w:val="00B553DA"/>
    <w:rsid w:val="00B61E8D"/>
    <w:rsid w:val="00B64D73"/>
    <w:rsid w:val="00B6510C"/>
    <w:rsid w:val="00B7641E"/>
    <w:rsid w:val="00B84BBD"/>
    <w:rsid w:val="00B950CD"/>
    <w:rsid w:val="00BB6ABF"/>
    <w:rsid w:val="00BB735B"/>
    <w:rsid w:val="00BC462F"/>
    <w:rsid w:val="00BD1378"/>
    <w:rsid w:val="00BD5AFB"/>
    <w:rsid w:val="00BD6A24"/>
    <w:rsid w:val="00BD7D1E"/>
    <w:rsid w:val="00BF6FC3"/>
    <w:rsid w:val="00BF7074"/>
    <w:rsid w:val="00C05CF0"/>
    <w:rsid w:val="00C067B4"/>
    <w:rsid w:val="00C11221"/>
    <w:rsid w:val="00C11A32"/>
    <w:rsid w:val="00C12D1E"/>
    <w:rsid w:val="00C1402D"/>
    <w:rsid w:val="00C22340"/>
    <w:rsid w:val="00C25C7F"/>
    <w:rsid w:val="00C32CB7"/>
    <w:rsid w:val="00C41F69"/>
    <w:rsid w:val="00C44A92"/>
    <w:rsid w:val="00C44C14"/>
    <w:rsid w:val="00C514C4"/>
    <w:rsid w:val="00C5245D"/>
    <w:rsid w:val="00C53706"/>
    <w:rsid w:val="00C60B95"/>
    <w:rsid w:val="00C66A8D"/>
    <w:rsid w:val="00C71269"/>
    <w:rsid w:val="00C75AAF"/>
    <w:rsid w:val="00C75D2C"/>
    <w:rsid w:val="00C76336"/>
    <w:rsid w:val="00C776FE"/>
    <w:rsid w:val="00C82C68"/>
    <w:rsid w:val="00C834FE"/>
    <w:rsid w:val="00C91D92"/>
    <w:rsid w:val="00C951C2"/>
    <w:rsid w:val="00CA09B7"/>
    <w:rsid w:val="00CA4C15"/>
    <w:rsid w:val="00CA7E01"/>
    <w:rsid w:val="00CB68C5"/>
    <w:rsid w:val="00CC456C"/>
    <w:rsid w:val="00CD7867"/>
    <w:rsid w:val="00CE5620"/>
    <w:rsid w:val="00CF4CC7"/>
    <w:rsid w:val="00D0124D"/>
    <w:rsid w:val="00D117C2"/>
    <w:rsid w:val="00D11E9D"/>
    <w:rsid w:val="00D150C3"/>
    <w:rsid w:val="00D2164E"/>
    <w:rsid w:val="00D23CEA"/>
    <w:rsid w:val="00D249D8"/>
    <w:rsid w:val="00D31F15"/>
    <w:rsid w:val="00D466F9"/>
    <w:rsid w:val="00D50121"/>
    <w:rsid w:val="00D5148A"/>
    <w:rsid w:val="00D51989"/>
    <w:rsid w:val="00D5247C"/>
    <w:rsid w:val="00D61455"/>
    <w:rsid w:val="00DA0E3A"/>
    <w:rsid w:val="00DA2468"/>
    <w:rsid w:val="00DA7CB8"/>
    <w:rsid w:val="00DB3D36"/>
    <w:rsid w:val="00DB3DAE"/>
    <w:rsid w:val="00DB66AB"/>
    <w:rsid w:val="00DC558B"/>
    <w:rsid w:val="00DD0A01"/>
    <w:rsid w:val="00DD0A2C"/>
    <w:rsid w:val="00DD13B9"/>
    <w:rsid w:val="00DD2A01"/>
    <w:rsid w:val="00DE5A2A"/>
    <w:rsid w:val="00DE5E2B"/>
    <w:rsid w:val="00DE69C1"/>
    <w:rsid w:val="00DE6C7D"/>
    <w:rsid w:val="00DF1F42"/>
    <w:rsid w:val="00DF2B1F"/>
    <w:rsid w:val="00E0187E"/>
    <w:rsid w:val="00E15DE7"/>
    <w:rsid w:val="00E215A2"/>
    <w:rsid w:val="00E27A58"/>
    <w:rsid w:val="00E37D21"/>
    <w:rsid w:val="00E527DC"/>
    <w:rsid w:val="00E66272"/>
    <w:rsid w:val="00E833E0"/>
    <w:rsid w:val="00E84EB3"/>
    <w:rsid w:val="00EA1D26"/>
    <w:rsid w:val="00EA77EC"/>
    <w:rsid w:val="00EA7C73"/>
    <w:rsid w:val="00EC4EA4"/>
    <w:rsid w:val="00EC7CCE"/>
    <w:rsid w:val="00ED29D8"/>
    <w:rsid w:val="00ED306A"/>
    <w:rsid w:val="00EF06EC"/>
    <w:rsid w:val="00EF4E71"/>
    <w:rsid w:val="00EF54CD"/>
    <w:rsid w:val="00F01472"/>
    <w:rsid w:val="00F0608F"/>
    <w:rsid w:val="00F10500"/>
    <w:rsid w:val="00F179ED"/>
    <w:rsid w:val="00F17D0B"/>
    <w:rsid w:val="00F2180D"/>
    <w:rsid w:val="00F32306"/>
    <w:rsid w:val="00F33188"/>
    <w:rsid w:val="00F42288"/>
    <w:rsid w:val="00F44E63"/>
    <w:rsid w:val="00F53543"/>
    <w:rsid w:val="00F566EE"/>
    <w:rsid w:val="00F61432"/>
    <w:rsid w:val="00F74846"/>
    <w:rsid w:val="00F82CAA"/>
    <w:rsid w:val="00F87841"/>
    <w:rsid w:val="00F9098D"/>
    <w:rsid w:val="00F94987"/>
    <w:rsid w:val="00F962CC"/>
    <w:rsid w:val="00FA71FC"/>
    <w:rsid w:val="00FB3C4D"/>
    <w:rsid w:val="00FB69E3"/>
    <w:rsid w:val="00FB7187"/>
    <w:rsid w:val="00FC131D"/>
    <w:rsid w:val="00FD2876"/>
    <w:rsid w:val="00FE5212"/>
    <w:rsid w:val="00FF21CB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E6F14-6A9D-403B-8C6E-7519AE35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61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rPr>
      <w:rFonts w:cs="Times New Roman"/>
      <w:color w:val="0000FF"/>
      <w:u w:val="single"/>
    </w:rPr>
  </w:style>
  <w:style w:type="paragraph" w:styleId="af7">
    <w:name w:val="header"/>
    <w:basedOn w:val="a"/>
    <w:link w:val="af8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Pr>
      <w:rFonts w:ascii="Times New Roman" w:hAnsi="Times New Roman"/>
      <w:sz w:val="28"/>
      <w:szCs w:val="20"/>
    </w:rPr>
  </w:style>
  <w:style w:type="paragraph" w:styleId="af9">
    <w:name w:val="Body Text"/>
    <w:basedOn w:val="a"/>
    <w:link w:val="afa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a">
    <w:name w:val="Основной текст Знак"/>
    <w:basedOn w:val="a0"/>
    <w:link w:val="af9"/>
    <w:rPr>
      <w:rFonts w:ascii="Times New Roman" w:hAnsi="Times New Roman"/>
      <w:sz w:val="28"/>
      <w:szCs w:val="20"/>
    </w:rPr>
  </w:style>
  <w:style w:type="paragraph" w:styleId="afb">
    <w:name w:val="footer"/>
    <w:basedOn w:val="a"/>
    <w:link w:val="a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fc">
    <w:name w:val="Нижний колонтитул Знак"/>
    <w:basedOn w:val="a0"/>
    <w:link w:val="afb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pPr>
      <w:widowControl w:val="0"/>
    </w:pPr>
    <w:rPr>
      <w:rFonts w:cs="Calibri"/>
      <w:b/>
      <w:sz w:val="22"/>
    </w:rPr>
  </w:style>
  <w:style w:type="paragraph" w:styleId="afd">
    <w:name w:val="Body Text Indent"/>
    <w:basedOn w:val="a"/>
    <w:link w:val="afe"/>
    <w:uiPriority w:val="99"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Pr>
      <w:sz w:val="22"/>
      <w:szCs w:val="22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RLAW049&amp;n=157337&amp;dst=105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C652F-61B9-476E-B7EB-3C75C7D8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Даниленко Ольга Владимировна</cp:lastModifiedBy>
  <cp:revision>17</cp:revision>
  <cp:lastPrinted>2025-08-06T09:46:00Z</cp:lastPrinted>
  <dcterms:created xsi:type="dcterms:W3CDTF">2024-10-22T04:58:00Z</dcterms:created>
  <dcterms:modified xsi:type="dcterms:W3CDTF">2025-08-06T09:47:00Z</dcterms:modified>
</cp:coreProperties>
</file>