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1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Tahoma" w:hAnsi="Tahoma" w:eastAsia="Tahoma" w:cs="Tahoma"/>
          <w:b w:val="0"/>
          <w:bCs w:val="0"/>
          <w:i w:val="0"/>
          <w:iCs w:val="0"/>
          <w:strike w:val="0"/>
          <w:color w:val="auto"/>
          <w:sz w:val="20"/>
          <w:szCs w:val="20"/>
          <w:lang w:val="ru-RU" w:bidi="zh-CN"/>
        </w:rPr>
        <w:t xml:space="preserve">Документ предоставлен </w:t>
      </w:r>
      <w:hyperlink r:id="rId8">
        <w:r>
          <w:rPr>
            <w:rFonts w:ascii="Tahoma" w:hAnsi="Tahoma" w:eastAsia="Tahoma" w:cs="Tahoma"/>
            <w:b w:val="0"/>
            <w:bCs w:val="0"/>
            <w:i w:val="0"/>
            <w:iCs w:val="0"/>
            <w:strike w:val="0"/>
            <w:color w:val="0000ff"/>
            <w:sz w:val="20"/>
            <w:szCs w:val="20"/>
            <w:lang w:val="ru-RU" w:bidi="zh-CN"/>
          </w:rPr>
          <w:t xml:space="preserve">КонсультантПлюс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br/>
      </w:r>
    </w:p>
    <w:p>
      <w:pPr>
        <w:pStyle w:val="Style_21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ПРАВИТЕЛЬСТВО НОВОСИБИРСКОЙ ОБЛАСТИ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ПОСТАНОВЛЕНИЕ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21 октября 2013 г. N 456-п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КВОТИРОВАНИИ РАБОЧИХ МЕСТ ДЛЯ ТРУДОУСТРОЙСТВА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ИНВАЛИДОВ В НОВОСИБИРСКОЙ ОБЛАСТИ</w:t>
      </w:r>
    </w:p>
    <w:p>
      <w:pPr>
        <w:pStyle w:val="Style_21"/>
        <w:spacing w:before="0"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1"/>
        <w:gridCol w:w="113"/>
      </w:tblGrid>
      <w:tr>
        <w:trPr>
          <w:jc w:val="left"/>
        </w:trPr>
        <w:tc>
          <w:tcPr>
            <w:tcW w:w="60" w:type="dxa"/>
            <w:shd w:val="clear" w:fill="ced3f1"/>
            <w:vAlign w:val="top"/>
          </w:tcPr>
          <w:p>
            <w:pPr>
              <w:pStyle w:val="Style_21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112" w:type="dxa"/>
            <w:shd w:val="clear" w:fill="f4f3f8"/>
            <w:vAlign w:val="top"/>
          </w:tcPr>
          <w:p>
            <w:pPr>
              <w:pStyle w:val="Style_21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9921" w:type="dxa"/>
            <w:shd w:val="clear" w:fill="f4f3f8"/>
            <w:tcMar>
              <w:top w:w="113" w:type="dxa"/>
              <w:bottom w:w="113" w:type="dxa"/>
            </w:tcMar>
            <w:vAlign w:val="top"/>
          </w:tcPr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Список изменяющих документов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03.12.2014 </w:t>
            </w:r>
            <w:hyperlink r:id="rId9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471-п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06.06.2017 </w:t>
            </w:r>
            <w:hyperlink r:id="rId10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208-п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19.06.2018 </w:t>
            </w:r>
            <w:hyperlink r:id="rId11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261-п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17.03.2020 </w:t>
            </w:r>
            <w:hyperlink r:id="rId12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64-п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18.08.2020 </w:t>
            </w:r>
            <w:hyperlink r:id="rId13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345-п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27.04.2021 </w:t>
            </w:r>
            <w:hyperlink r:id="rId14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147-п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06.04.2023 </w:t>
            </w:r>
            <w:hyperlink r:id="rId15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140-п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)</w:t>
            </w:r>
          </w:p>
        </w:tc>
        <w:tc>
          <w:tcPr>
            <w:tcW w:w="113" w:type="dxa"/>
            <w:shd w:val="clear" w:fill="f4f3f8"/>
            <w:vAlign w:val="top"/>
          </w:tcPr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</w:pPr>
          </w:p>
        </w:tc>
      </w:tr>
    </w:tbl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 соответствии с </w:t>
      </w:r>
      <w:hyperlink r:id="rId16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Законом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Российской Федерации от 19.04.1991 N 1032-1 "О занятости населения в Российской Федерации", Федеральным </w:t>
      </w:r>
      <w:hyperlink r:id="rId17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законом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от 24.11.1995 N 181-ФЗ "О социальной защите инвалидов в Российской Федерации" Правительство Новосибирской области постановляет: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1. В соответствии со </w:t>
      </w:r>
      <w:hyperlink r:id="rId18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статьей 20.1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Закона Новосибирской области от 12.03.1999 N 45-ОЗ "О социальной защите инвалидов в Новосибирской области" работодателям, у которых численность работников составляет 35 человек и более, установлена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Федерации.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1 в ред. </w:t>
      </w:r>
      <w:hyperlink r:id="rId19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2. Утвердить прилагаемый </w:t>
      </w:r>
      <w:hyperlink r:id="rId2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Порядок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квотирования рабочих мест для трудоустройства инвалидов в Новосибирской области.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3. Признать утратившим силу </w:t>
      </w:r>
      <w:hyperlink r:id="rId21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администрации Новосибирской области от 12.11.2007 N 163-па "О квотировании рабочих мест для трудоустройства инвалидов в Новосибирской области".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4.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4 в ред. </w:t>
      </w:r>
      <w:hyperlink r:id="rId22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17.03.2020 N 64-п)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Губернатор Новосибирской области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В.А.ЮРЧЕНКО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Утвержден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постановлением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Правительства Новосибирской области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21.10.2013 N 456-п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bookmarkStart w:id="1" w:name="Par34"/>
      <w:bookmarkEnd w:id="1"/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ПОРЯДОК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КВОТИРОВАНИЯ РАБОЧИХ МЕСТ ДЛЯ ТРУДОУСТРОЙСТВА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ИНВАЛИДОВ В НОВОСИБИРСКОЙ ОБЛАСТИ</w:t>
      </w:r>
    </w:p>
    <w:p>
      <w:pPr>
        <w:pStyle w:val="Style_21"/>
        <w:spacing w:before="0"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1"/>
        <w:gridCol w:w="113"/>
      </w:tblGrid>
      <w:tr>
        <w:trPr>
          <w:jc w:val="left"/>
        </w:trPr>
        <w:tc>
          <w:tcPr>
            <w:tcW w:w="60" w:type="dxa"/>
            <w:shd w:val="clear" w:fill="ced3f1"/>
            <w:vAlign w:val="top"/>
          </w:tcPr>
          <w:p>
            <w:pPr>
              <w:pStyle w:val="Style_21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112" w:type="dxa"/>
            <w:shd w:val="clear" w:fill="f4f3f8"/>
            <w:vAlign w:val="top"/>
          </w:tcPr>
          <w:p>
            <w:pPr>
              <w:pStyle w:val="Style_21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9921" w:type="dxa"/>
            <w:shd w:val="clear" w:fill="f4f3f8"/>
            <w:tcMar>
              <w:top w:w="113" w:type="dxa"/>
              <w:bottom w:w="113" w:type="dxa"/>
            </w:tcMar>
            <w:vAlign w:val="top"/>
          </w:tcPr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Список изменяющих документов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03.12.2014 </w:t>
            </w:r>
            <w:hyperlink r:id="rId23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471-п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06.06.2017 </w:t>
            </w:r>
            <w:hyperlink r:id="rId24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208-п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19.06.2018 </w:t>
            </w:r>
            <w:hyperlink r:id="rId25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261-п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17.03.2020 </w:t>
            </w:r>
            <w:hyperlink r:id="rId26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64-п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18.08.2020 </w:t>
            </w:r>
            <w:hyperlink r:id="rId27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345-п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 от 27.04.2021 </w:t>
            </w:r>
            <w:hyperlink r:id="rId28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147-п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,</w:t>
            </w:r>
          </w:p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06.04.2023 </w:t>
            </w:r>
            <w:hyperlink r:id="rId29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N 140-п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)</w:t>
            </w:r>
          </w:p>
        </w:tc>
        <w:tc>
          <w:tcPr>
            <w:tcW w:w="113" w:type="dxa"/>
            <w:shd w:val="clear" w:fill="f4f3f8"/>
            <w:vAlign w:val="top"/>
          </w:tcPr>
          <w:p>
            <w:pPr>
              <w:pStyle w:val="Style_21"/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</w:pPr>
          </w:p>
        </w:tc>
      </w:tr>
    </w:tbl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I. Общие положения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1. Настоящий Порядок квотирования рабочих мест для трудоустройства инвалидов в Новосибирской области (далее - Порядок) разработан в соответствии с </w:t>
      </w:r>
      <w:hyperlink r:id="rId3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Законом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Российской Федерации от 19.04.1991 N 1032-1 "О занятости населения в Российской Федерации", Федеральным </w:t>
      </w:r>
      <w:hyperlink r:id="rId31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законом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от 24.11.1995 N 181-ФЗ "О социальной защите инвалидов в Российской Федерации" в целях обеспечения дополнительных гарантий занятости граждан, признанных в соответствии с действующим законодательством инвалидами.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2. Порядок определяет механизм установления квоты для приема на работу инвалидов работодателям, действующим на территории Новосибирской области, в соответствии с действующим законодательством Российской Федерации.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Абзац утратил силу. - </w:t>
      </w:r>
      <w:hyperlink r:id="rId32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19.06.2018 N 261-п.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3. Термины, используемые в Порядке: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Квота для приема на работу инвалидов - минимальное количество рабочих мест (в процентах от среднесписочной численности работников), которые работодатель обязан создать или выделить для трудоустройства инвалидов, включая количество рабочих мест, на которых уже работают граждане указанной категории.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(в ред. </w:t>
      </w:r>
      <w:hyperlink r:id="rId33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03.12.2014 N 471-п)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Работодатели - физические лица либо юридические лица (организации), вступившие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(абзац введен </w:t>
      </w:r>
      <w:hyperlink r:id="rId34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27.04.2021 N 147-п)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4. При приеме на работу инвалидов в соответствии с установленной квотой работодатели руководствуются </w:t>
      </w:r>
      <w:hyperlink r:id="rId35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статьей 24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4 в ред. </w:t>
      </w:r>
      <w:hyperlink r:id="rId36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II. Порядок установления квоты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5. Государственные казенные учреждения Новосибирской области центры занятости населения (далее - центры занятости населения) ежегодно информируют работодателей об установлении квоты для приема на работу инвалидов посредством размещения информации в средствах массовой информации, на Интерактивном портале службы занятости населения Новосибирской области (адрес в сети Интернет http://nszn.nso.ru) не позднее 15 декабря года, предшествующему году, на который устанавливается квота.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5 в ред. </w:t>
      </w:r>
      <w:hyperlink r:id="rId37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19.06.2018 N 261-п)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6. Работодатели рассчитывают квоту для приема на работу инвалидов в соответствии с </w:t>
      </w:r>
      <w:hyperlink r:id="rId38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пунктами 2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, </w:t>
      </w:r>
      <w:hyperlink r:id="rId39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4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Правил выполнения работодателем квоты для приема на работу инвалидов при оформлении трудовых отношений с инвалидом на любое рабочее место, утвержденных постановлением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(далее - постановление N 366), а именно: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года;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 расчете квоты для приема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единице;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квота для приема на работу инвалидов подлежит перерасчету в случае уменьшения среднесписочной численности работников за прошедший месяц, за исключением работников, условия труда на рабочих местах которых отнесены к вредным и (или) опасным условиям труда по результатам проведения специальной оценки условий труда. Перерасчет квоты для приема на работу инвалидов осуществляется работодателем с первого числа месяца, следующего за месяцем, в котором произошло изменение среднесписочной численности работников.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Минимальное количество специальных рабочих мест для трудоустройства инвалидов устанавливается приказом министерства труда и социального развития Новосибирской области.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Численность работников для целей исчисления квоты для приема на работу инвалидов определяется исходя из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6 в ред. </w:t>
      </w:r>
      <w:hyperlink r:id="rId4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III. Трудоустройство инвалидов в счет установленной квоты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bookmarkStart w:id="2" w:name="Par71"/>
      <w:bookmarkEnd w:id="2"/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7. Работодатели, которым установлена квота для трудоустройства инвалидов, в соответствии с </w:t>
      </w:r>
      <w:hyperlink r:id="rId41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Российской Федерации от 30.12.2021 N 2576 "О порядке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ежемесячно предоставляют сведения и информацию посредством Единой цифровой платформы в сфере занятости и трудовых отношений "Работа в России" (далее - единая цифровая 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(функций)",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7 в ред. </w:t>
      </w:r>
      <w:hyperlink r:id="rId42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8. Центры занятости населения: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на основании информации, указанной в </w:t>
      </w:r>
      <w:hyperlink r:id="rId43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пункте 7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настоящего Порядка, вносят в регистр получателей государственных услуг в сфере занятости населения сведения о свободных рабочих местах и вакантных должностях для трудоустройства инвалидов в соответствии с индивидуальными программами реабилитации или абилитации инвалидов, выданными в установленном действующим законодательством порядке и содержащими заключения о рекомендуемом характере и условиях труда;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(в ред. </w:t>
      </w:r>
      <w:hyperlink r:id="rId44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19.06.2018 N 261-п)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выдают инвалидам направления к работодателям для трудоустройства в счет установленной квоты.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9. Работодатель имеет право принимать на работу инвалидов в счет установленной квоты, непосредственно обратившихся к нему, на равных основаниях с инвалидами, имеющими направление центров занятости населения.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9 в ред. </w:t>
      </w:r>
      <w:hyperlink r:id="rId45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19.06.2018 N 261-п)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10. В соответствии с </w:t>
      </w:r>
      <w:hyperlink r:id="rId46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пунктом 5 статьи 25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Закона Российской Федерации от 19.04.1991 N 1032-1 "О занятости населения в Российской Федерации" при приеме на работу инвалида, направленного центром занятости населения, работодатель в пятидневный срок уведомляет об этом центр занятости в электронной форме с использованием единой цифровой платформы с указанием дня приема гражданина на работу либо возвращает направление, выданное гражданину центром занятости населения, в центр занятости населения в случае, если работодатель не зарегистрирован на единой цифровой платформе в порядке, установленном Правительством Российской Федерации.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 случае отказа в приеме на работу гражданина, направленного центром занятости населения, работодатель уведомляет центр занятости населения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центра занятости населения отметку о дне явки гражданина, причине отказа в приеме на работу и возвращает направление гражданину в случае, если работодатель не зарегистрирован на единой цифровой платформе в порядке, установленном Правительством Российской Федерации.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10 в ред. </w:t>
      </w:r>
      <w:hyperlink r:id="rId47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11. В соответствии с </w:t>
      </w:r>
      <w:hyperlink r:id="rId48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пунктами 5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и </w:t>
      </w:r>
      <w:hyperlink r:id="rId49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6 статьи 13.2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Закона Российской Федерации от 19.04.1991 N 1032-1 "О занятости населения в Российской Федерации" квота для приема на работу инвалидов считается выполненной работодателем в случае оформления в установленном порядке трудовых отношений с инвалидами в рамках исполнения работодателем обязанности по трудоустройству инвалидов в соответствии с установленной квотой.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Оформление работодателем трудовых отношений с инвалидом на любое рабочее место считается выполнением квоты для приема на работу инвалидов в случаях и порядке, установленных </w:t>
      </w:r>
      <w:hyperlink r:id="rId5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N 366.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11 в ред. </w:t>
      </w:r>
      <w:hyperlink r:id="rId51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IV. Контроль за приемом на работу инвалидов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12. Региональный государственный контроль (надзор) за приемом на работу инвалидов в пределах установленной квоты осуществляет министерство труда и социального развития Новосибирской области в соответствии с </w:t>
      </w:r>
      <w:hyperlink r:id="rId52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20.09.2021 N 364-п "О Положении о региональном государственном контроле (надзоре) за приемом на работу инвалидов в пределах установленной квоты".</w:t>
      </w:r>
    </w:p>
    <w:p>
      <w:pPr>
        <w:pStyle w:val="Style_21"/>
        <w:spacing w:before="0" w:after="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(п. 12 в ред. </w:t>
      </w:r>
      <w:hyperlink r:id="rId53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постановления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140-п)</w:t>
      </w:r>
    </w:p>
    <w:p>
      <w:pPr>
        <w:pStyle w:val="Style_21"/>
        <w:spacing w:before="16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13. Работодатели, нарушающие настоящий Порядок, несут ответственность, предусмотренную действующим законодательством.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Приложение N 1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 Порядку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квотирования рабочих мест для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трудоустройства инвалидов в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Новосибирской области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Сведения о потребности в работниках,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наличии свободных рабочих мест (вакантных должностей)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Утратили силу. - </w:t>
      </w:r>
      <w:hyperlink r:id="rId54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19.06.2018 N 261-п.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Приложение N 2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 Порядку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квотирования рабочих мест для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трудоустройства инвалидов</w:t>
      </w:r>
    </w:p>
    <w:p>
      <w:pPr>
        <w:pStyle w:val="Style_21"/>
        <w:spacing w:before="0" w:after="0" w:line="240" w:lineRule="auto"/>
        <w:ind w:left="0" w:righ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 Новосибирской области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ИНФОРМАЦИЯ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созданных или выделенных рабочих местах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для трудоустройства инвалидов в соответствии с установленной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квотой для приема на работу инвалидов, локальном нормативном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акте, содержащем сведения о созданных или выделенных рабочих</w:t>
      </w:r>
    </w:p>
    <w:p>
      <w:pPr>
        <w:pStyle w:val="Style_21"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местах, о выполнении квоты для приема на работу инвалидов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Утратила силу. - </w:t>
      </w:r>
      <w:hyperlink r:id="rId55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Постановление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Правительства Новосибирской области от 06.04.2023 N 140-п.</w:t>
      </w: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spacing w:before="0" w:after="0" w:line="240" w:lineRule="auto"/>
        <w:ind w:left="0" w:righ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1"/>
        <w:pBdr>
          <w:top w:val="single" w:color="000000" w:sz="6" w:space="0"/>
        </w:pBdr>
        <w:spacing w:before="100" w:after="100" w:line="24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sectPr>
      <w:type w:val="continuous"/>
      <w:pgSz w:w="11906" w:h="16838"/>
      <w:pgMar w:top="1440" w:right="566" w:bottom="1440" w:left="1133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Liberation Sans">
    <w:panose1 w:val="020B0604020202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before="0" w:after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sz w:val="24"/>
      <w:szCs w:val="24"/>
      <w:lang w:val="ru-RU" w:bidi="zh-CN"/>
    </w:rPr>
  </w:style>
  <w:style w:type="character" w:styleId="Style_15">
    <w:name w:val="Интернет-ссылка"/>
    <w:rPr>
      <w:rFonts w:ascii="Liberation Serif" w:hAnsi="Liberation Serif" w:eastAsia="Liberation Serif" w:cs="Liberation Serif"/>
      <w:color w:val="000080"/>
      <w:sz w:val="24"/>
      <w:szCs w:val="24"/>
      <w:u w:val="single"/>
    </w:rPr>
  </w:style>
  <w:style w:type="paragraph" w:styleId="Style_16">
    <w:name w:val="Заголовок"/>
    <w:basedOn w:val="Style_0"/>
    <w:pPr>
      <w:keepNext/>
      <w:spacing w:before="240" w:after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sz w:val="28"/>
    </w:rPr>
  </w:style>
  <w:style w:type="paragraph" w:styleId="Style_17">
    <w:name w:val="Основной текст"/>
    <w:basedOn w:val="Style_0"/>
    <w:pPr>
      <w:spacing w:before="0" w:after="14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sz w:val="24"/>
    </w:rPr>
  </w:style>
  <w:style w:type="paragraph" w:styleId="Style_18">
    <w:name w:val="Список"/>
    <w:basedOn w:val="Style_17"/>
    <w:pPr>
      <w:spacing w:before="0" w:after="14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sz w:val="24"/>
    </w:rPr>
  </w:style>
  <w:style w:type="paragraph" w:styleId="Style_19">
    <w:name w:val="Название"/>
    <w:basedOn w:val="Style_0"/>
    <w:pPr>
      <w:spacing w:before="120" w:after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i/>
      <w:sz w:val="24"/>
    </w:rPr>
  </w:style>
  <w:style w:type="paragraph" w:styleId="Style_20">
    <w:name w:val="Указатель"/>
    <w:basedOn w:val="Style_0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sz w:val="24"/>
    </w:rPr>
  </w:style>
  <w:style w:type="paragraph" w:styleId="Style_21">
    <w:name w:val="ConsPlusNormal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 w:val="0"/>
      <w:bCs w:val="0"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2">
    <w:name w:val="ConsPlusNonformat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sz w:val="20"/>
      <w:szCs w:val="20"/>
      <w:lang w:val="ru-RU" w:bidi="zh-CN"/>
    </w:rPr>
  </w:style>
  <w:style w:type="paragraph" w:styleId="Style_23">
    <w:name w:val="ConsPlusTitle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/>
      <w:bCs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4">
    <w:name w:val="ConsPlusCell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sz w:val="20"/>
      <w:szCs w:val="20"/>
      <w:lang w:val="ru-RU" w:bidi="zh-CN"/>
    </w:rPr>
  </w:style>
  <w:style w:type="paragraph" w:styleId="Style_25">
    <w:name w:val="ConsPlusDocList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6">
    <w:name w:val="ConsPlusTitlePage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Tahoma" w:hAnsi="Tahoma" w:eastAsia="Tahoma" w:cs="Tahoma"/>
      <w:b w:val="0"/>
      <w:bCs w:val="0"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7">
    <w:name w:val="ConsPlusJurTerm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 w:val="0"/>
      <w:bCs w:val="0"/>
      <w:i w:val="0"/>
      <w:iCs w:val="0"/>
      <w:strike w:val="0"/>
      <w:color w:val="auto"/>
      <w:sz w:val="26"/>
      <w:szCs w:val="26"/>
      <w:lang w:val="ru-RU" w:bidi="zh-CN"/>
    </w:rPr>
  </w:style>
  <w:style w:type="paragraph" w:styleId="Style_28">
    <w:name w:val="ConsPlusTextList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 w:val="0"/>
      <w:bCs w:val="0"/>
      <w:i w:val="0"/>
      <w:iCs w:val="0"/>
      <w:strike w:val="0"/>
      <w:color w:val="auto"/>
      <w:sz w:val="20"/>
      <w:szCs w:val="20"/>
      <w:lang w:val="ru-RU" w:bidi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76738&amp;dst=100005" TargetMode="External"/><Relationship Id="rId10" Type="http://schemas.openxmlformats.org/officeDocument/2006/relationships/hyperlink" Target="https://login.consultant.ru/link/?req=doc&amp;base=RLAW049&amp;n=99903&amp;dst=100005" TargetMode="External"/><Relationship Id="rId11" Type="http://schemas.openxmlformats.org/officeDocument/2006/relationships/hyperlink" Target="https://login.consultant.ru/link/?req=doc&amp;base=RLAW049&amp;n=110193&amp;dst=100005" TargetMode="External"/><Relationship Id="rId12" Type="http://schemas.openxmlformats.org/officeDocument/2006/relationships/hyperlink" Target="https://login.consultant.ru/link/?req=doc&amp;base=RLAW049&amp;n=126954&amp;dst=100005" TargetMode="External"/><Relationship Id="rId13" Type="http://schemas.openxmlformats.org/officeDocument/2006/relationships/hyperlink" Target="https://login.consultant.ru/link/?req=doc&amp;base=RLAW049&amp;n=131828&amp;dst=100005" TargetMode="External"/><Relationship Id="rId14" Type="http://schemas.openxmlformats.org/officeDocument/2006/relationships/hyperlink" Target="https://login.consultant.ru/link/?req=doc&amp;base=RLAW049&amp;n=139159&amp;dst=100005" TargetMode="External"/><Relationship Id="rId15" Type="http://schemas.openxmlformats.org/officeDocument/2006/relationships/hyperlink" Target="https://login.consultant.ru/link/?req=doc&amp;base=RLAW049&amp;n=161217&amp;dst=100005" TargetMode="External"/><Relationship Id="rId16" Type="http://schemas.openxmlformats.org/officeDocument/2006/relationships/hyperlink" Target="https://login.consultant.ru/link/?req=doc&amp;base=LAW&amp;n=464355&amp;dst=100626" TargetMode="External"/><Relationship Id="rId17" Type="http://schemas.openxmlformats.org/officeDocument/2006/relationships/hyperlink" Target="https://login.consultant.ru/link/?req=doc&amp;base=LAW&amp;n=477506&amp;dst=161" TargetMode="External"/><Relationship Id="rId18" Type="http://schemas.openxmlformats.org/officeDocument/2006/relationships/hyperlink" Target="https://login.consultant.ru/link/?req=doc&amp;base=RLAW049&amp;n=177516&amp;dst=100318" TargetMode="External"/><Relationship Id="rId19" Type="http://schemas.openxmlformats.org/officeDocument/2006/relationships/hyperlink" Target="https://login.consultant.ru/link/?req=doc&amp;base=RLAW049&amp;n=161217&amp;dst=100006" TargetMode="External"/><Relationship Id="rId20" Type="http://schemas.openxmlformats.org/officeDocument/2006/relationships/hyperlink" Target="#Par34" TargetMode="External"/><Relationship Id="rId21" Type="http://schemas.openxmlformats.org/officeDocument/2006/relationships/hyperlink" Target="https://login.consultant.ru/link/?req=doc&amp;base=RLAW049&amp;n=25426" TargetMode="External"/><Relationship Id="rId22" Type="http://schemas.openxmlformats.org/officeDocument/2006/relationships/hyperlink" Target="https://login.consultant.ru/link/?req=doc&amp;base=RLAW049&amp;n=126954&amp;dst=100006" TargetMode="External"/><Relationship Id="rId23" Type="http://schemas.openxmlformats.org/officeDocument/2006/relationships/hyperlink" Target="https://login.consultant.ru/link/?req=doc&amp;base=RLAW049&amp;n=76738&amp;dst=100008" TargetMode="External"/><Relationship Id="rId24" Type="http://schemas.openxmlformats.org/officeDocument/2006/relationships/hyperlink" Target="https://login.consultant.ru/link/?req=doc&amp;base=RLAW049&amp;n=99903&amp;dst=100006" TargetMode="External"/><Relationship Id="rId25" Type="http://schemas.openxmlformats.org/officeDocument/2006/relationships/hyperlink" Target="https://login.consultant.ru/link/?req=doc&amp;base=RLAW049&amp;n=110193&amp;dst=100008" TargetMode="External"/><Relationship Id="rId26" Type="http://schemas.openxmlformats.org/officeDocument/2006/relationships/hyperlink" Target="https://login.consultant.ru/link/?req=doc&amp;base=RLAW049&amp;n=126954&amp;dst=100008" TargetMode="External"/><Relationship Id="rId27" Type="http://schemas.openxmlformats.org/officeDocument/2006/relationships/hyperlink" Target="https://login.consultant.ru/link/?req=doc&amp;base=RLAW049&amp;n=131828&amp;dst=100006" TargetMode="External"/><Relationship Id="rId28" Type="http://schemas.openxmlformats.org/officeDocument/2006/relationships/hyperlink" Target="https://login.consultant.ru/link/?req=doc&amp;base=RLAW049&amp;n=139159&amp;dst=100006" TargetMode="External"/><Relationship Id="rId29" Type="http://schemas.openxmlformats.org/officeDocument/2006/relationships/hyperlink" Target="https://login.consultant.ru/link/?req=doc&amp;base=RLAW049&amp;n=161217&amp;dst=100008" TargetMode="External"/><Relationship Id="rId30" Type="http://schemas.openxmlformats.org/officeDocument/2006/relationships/hyperlink" Target="https://login.consultant.ru/link/?req=doc&amp;base=LAW&amp;n=464355&amp;dst=100626" TargetMode="External"/><Relationship Id="rId31" Type="http://schemas.openxmlformats.org/officeDocument/2006/relationships/hyperlink" Target="https://login.consultant.ru/link/?req=doc&amp;base=LAW&amp;n=477506&amp;dst=161" TargetMode="External"/><Relationship Id="rId32" Type="http://schemas.openxmlformats.org/officeDocument/2006/relationships/hyperlink" Target="https://login.consultant.ru/link/?req=doc&amp;base=RLAW049&amp;n=110193&amp;dst=100009" TargetMode="External"/><Relationship Id="rId33" Type="http://schemas.openxmlformats.org/officeDocument/2006/relationships/hyperlink" Target="https://login.consultant.ru/link/?req=doc&amp;base=RLAW049&amp;n=76738&amp;dst=100009" TargetMode="External"/><Relationship Id="rId34" Type="http://schemas.openxmlformats.org/officeDocument/2006/relationships/hyperlink" Target="https://login.consultant.ru/link/?req=doc&amp;base=RLAW049&amp;n=139159&amp;dst=100007" TargetMode="External"/><Relationship Id="rId35" Type="http://schemas.openxmlformats.org/officeDocument/2006/relationships/hyperlink" Target="https://login.consultant.ru/link/?req=doc&amp;base=LAW&amp;n=477506&amp;dst=100180" TargetMode="External"/><Relationship Id="rId36" Type="http://schemas.openxmlformats.org/officeDocument/2006/relationships/hyperlink" Target="https://login.consultant.ru/link/?req=doc&amp;base=RLAW049&amp;n=161217&amp;dst=100009" TargetMode="External"/><Relationship Id="rId37" Type="http://schemas.openxmlformats.org/officeDocument/2006/relationships/hyperlink" Target="https://login.consultant.ru/link/?req=doc&amp;base=RLAW049&amp;n=110193&amp;dst=100010" TargetMode="External"/><Relationship Id="rId38" Type="http://schemas.openxmlformats.org/officeDocument/2006/relationships/hyperlink" Target="https://login.consultant.ru/link/?req=doc&amp;base=LAW&amp;n=411620&amp;dst=100011" TargetMode="External"/><Relationship Id="rId39" Type="http://schemas.openxmlformats.org/officeDocument/2006/relationships/hyperlink" Target="https://login.consultant.ru/link/?req=doc&amp;base=LAW&amp;n=411620&amp;dst=100014" TargetMode="External"/><Relationship Id="rId40" Type="http://schemas.openxmlformats.org/officeDocument/2006/relationships/hyperlink" Target="https://login.consultant.ru/link/?req=doc&amp;base=RLAW049&amp;n=161217&amp;dst=100011" TargetMode="External"/><Relationship Id="rId41" Type="http://schemas.openxmlformats.org/officeDocument/2006/relationships/hyperlink" Target="https://login.consultant.ru/link/?req=doc&amp;base=LAW&amp;n=406146" TargetMode="External"/><Relationship Id="rId42" Type="http://schemas.openxmlformats.org/officeDocument/2006/relationships/hyperlink" Target="https://login.consultant.ru/link/?req=doc&amp;base=RLAW049&amp;n=161217&amp;dst=100018" TargetMode="External"/><Relationship Id="rId43" Type="http://schemas.openxmlformats.org/officeDocument/2006/relationships/hyperlink" Target="#Par71" TargetMode="External"/><Relationship Id="rId44" Type="http://schemas.openxmlformats.org/officeDocument/2006/relationships/hyperlink" Target="https://login.consultant.ru/link/?req=doc&amp;base=RLAW049&amp;n=110193&amp;dst=100025" TargetMode="External"/><Relationship Id="rId45" Type="http://schemas.openxmlformats.org/officeDocument/2006/relationships/hyperlink" Target="https://login.consultant.ru/link/?req=doc&amp;base=RLAW049&amp;n=110193&amp;dst=100027" TargetMode="External"/><Relationship Id="rId46" Type="http://schemas.openxmlformats.org/officeDocument/2006/relationships/hyperlink" Target="https://login.consultant.ru/link/?req=doc&amp;base=LAW&amp;n=464355&amp;dst=782" TargetMode="External"/><Relationship Id="rId47" Type="http://schemas.openxmlformats.org/officeDocument/2006/relationships/hyperlink" Target="https://login.consultant.ru/link/?req=doc&amp;base=RLAW049&amp;n=161217&amp;dst=100020" TargetMode="External"/><Relationship Id="rId48" Type="http://schemas.openxmlformats.org/officeDocument/2006/relationships/hyperlink" Target="https://login.consultant.ru/link/?req=doc&amp;base=LAW&amp;n=464355&amp;dst=839" TargetMode="External"/><Relationship Id="rId49" Type="http://schemas.openxmlformats.org/officeDocument/2006/relationships/hyperlink" Target="https://login.consultant.ru/link/?req=doc&amp;base=LAW&amp;n=464355&amp;dst=840" TargetMode="External"/><Relationship Id="rId50" Type="http://schemas.openxmlformats.org/officeDocument/2006/relationships/hyperlink" Target="https://login.consultant.ru/link/?req=doc&amp;base=LAW&amp;n=411620" TargetMode="External"/><Relationship Id="rId51" Type="http://schemas.openxmlformats.org/officeDocument/2006/relationships/hyperlink" Target="https://login.consultant.ru/link/?req=doc&amp;base=RLAW049&amp;n=161217&amp;dst=100023" TargetMode="External"/><Relationship Id="rId52" Type="http://schemas.openxmlformats.org/officeDocument/2006/relationships/hyperlink" Target="https://login.consultant.ru/link/?req=doc&amp;base=RLAW049&amp;n=172683" TargetMode="External"/><Relationship Id="rId53" Type="http://schemas.openxmlformats.org/officeDocument/2006/relationships/hyperlink" Target="https://login.consultant.ru/link/?req=doc&amp;base=RLAW049&amp;n=161217&amp;dst=100026" TargetMode="External"/><Relationship Id="rId54" Type="http://schemas.openxmlformats.org/officeDocument/2006/relationships/hyperlink" Target="https://login.consultant.ru/link/?req=doc&amp;base=RLAW049&amp;n=110193&amp;dst=100032" TargetMode="External"/><Relationship Id="rId55" Type="http://schemas.openxmlformats.org/officeDocument/2006/relationships/hyperlink" Target="https://login.consultant.ru/link/?req=doc&amp;base=RLAW049&amp;n=161217&amp;dst=1000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21.10.2013 N 456-?(???. ?? 06.04.2023)&amp;quot;? ???????????? ??????? ???? ??? ??????????????? ????????? ? ????????????? ???????&amp;quot;</dc:title>
  <dc:creator/>
  <cp:lastModifiedBy/>
</cp:coreProperties>
</file>