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консультаций по проекту 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правового акта Новосибирской области и сводному отчету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963"/>
      <w:r/>
      <w:bookmarkEnd w:id="0"/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Вид и наименование проекта нормативного правового акта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области: </w:t>
      </w:r>
      <w:r>
        <w:rPr>
          <w:rFonts w:ascii="Times New Roman" w:hAnsi="Times New Roman"/>
          <w:sz w:val="28"/>
          <w:szCs w:val="28"/>
        </w:rPr>
        <w:t xml:space="preserve">проект постановления Губернатора Новосибирской области «Об установлении на 20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1" w:name="P965"/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sz w:val="28"/>
          <w:szCs w:val="28"/>
          <w:highlight w:val="none"/>
        </w:rPr>
        <w:t xml:space="preserve">Наименование разработчика: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министерство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заместитель начальника отдела трудовой миграции управления занятости населения Шерко </w:t>
      </w:r>
      <w:r>
        <w:rPr>
          <w:rFonts w:ascii="Times New Roman" w:hAnsi="Times New Roman"/>
          <w:sz w:val="28"/>
          <w:szCs w:val="28"/>
          <w:highlight w:val="none"/>
        </w:rPr>
        <w:t xml:space="preserve">Татьяна Александровна, 238 69 73.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2" w:name="P967"/>
      <w:r>
        <w:rPr>
          <w:highlight w:val="none"/>
        </w:rPr>
      </w:r>
      <w:bookmarkEnd w:id="2"/>
      <w:r>
        <w:rPr>
          <w:rFonts w:ascii="Times New Roman" w:hAnsi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 Срок проведения публичных консультаций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28</w:t>
      </w:r>
      <w:r>
        <w:rPr>
          <w:rFonts w:ascii="Times New Roman" w:hAnsi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/>
          <w:sz w:val="28"/>
          <w:szCs w:val="28"/>
          <w:highlight w:val="none"/>
        </w:rPr>
        <w:t xml:space="preserve">7.2025 по 18</w:t>
      </w:r>
      <w:r>
        <w:rPr>
          <w:rFonts w:ascii="Times New Roman" w:hAnsi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/>
          <w:sz w:val="28"/>
          <w:szCs w:val="28"/>
          <w:highlight w:val="none"/>
        </w:rPr>
        <w:t xml:space="preserve">8.202</w:t>
      </w:r>
      <w:r>
        <w:rPr>
          <w:rFonts w:ascii="Times New Roman" w:hAnsi="Times New Roman"/>
          <w:sz w:val="28"/>
          <w:szCs w:val="28"/>
          <w:highlight w:val="none"/>
        </w:rPr>
        <w:t xml:space="preserve">5.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bookmarkStart w:id="3" w:name="P968"/>
      <w:r>
        <w:rPr>
          <w:highlight w:val="none"/>
        </w:rPr>
      </w:r>
      <w:bookmarkEnd w:id="3"/>
      <w:r>
        <w:rPr>
          <w:rFonts w:ascii="Times New Roman" w:hAnsi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/>
          <w:sz w:val="28"/>
          <w:szCs w:val="28"/>
          <w:highlight w:val="none"/>
        </w:rPr>
        <w:t xml:space="preserve">Адреса </w:t>
      </w:r>
      <w:r>
        <w:rPr>
          <w:rFonts w:ascii="Times New Roman" w:hAnsi="Times New Roman"/>
          <w:sz w:val="28"/>
          <w:szCs w:val="28"/>
          <w:highlight w:val="none"/>
        </w:rPr>
        <w:t xml:space="preserve">для направления предложений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и замечаний по проекту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сводному отчету о проведении оценки регулирующ</w:t>
      </w:r>
      <w:r>
        <w:rPr>
          <w:rFonts w:ascii="Times New Roman" w:hAnsi="Times New Roman"/>
          <w:sz w:val="28"/>
          <w:szCs w:val="28"/>
          <w:highlight w:val="none"/>
        </w:rPr>
        <w:t xml:space="preserve">его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воздействия проекта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почтовый: </w:t>
      </w:r>
      <w:r>
        <w:rPr>
          <w:rFonts w:ascii="Times New Roman" w:hAnsi="Times New Roman"/>
          <w:sz w:val="28"/>
          <w:szCs w:val="28"/>
        </w:rPr>
        <w:t xml:space="preserve">630004, г. Новосибирск, Ленина ул., д. 28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</w:rPr>
        <w:t xml:space="preserve">shta@nso.ru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замечания могут быть </w:t>
      </w:r>
      <w:r>
        <w:rPr>
          <w:rFonts w:ascii="Times New Roman" w:hAnsi="Times New Roman"/>
          <w:sz w:val="28"/>
          <w:szCs w:val="28"/>
        </w:rPr>
        <w:t xml:space="preserve">направлены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размещения комментариев на странице ГИС НСО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размещено информационное сообщение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 xml:space="preserve">публичных к</w:t>
      </w:r>
      <w:r>
        <w:rPr>
          <w:rFonts w:ascii="Times New Roman" w:hAnsi="Times New Roman"/>
          <w:sz w:val="28"/>
          <w:szCs w:val="28"/>
        </w:rPr>
        <w:t xml:space="preserve">онсультаций по проекту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и сводному отчету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оценки регулирующего воздействия проекта </w:t>
      </w:r>
      <w:r>
        <w:rPr>
          <w:rFonts w:ascii="Times New Roman" w:hAnsi="Times New Roman"/>
          <w:sz w:val="28"/>
          <w:szCs w:val="28"/>
        </w:rPr>
        <w:t xml:space="preserve">пос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ановления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Ссылка </w:t>
      </w:r>
      <w:r>
        <w:rPr>
          <w:rFonts w:ascii="Times New Roman" w:hAnsi="Times New Roman"/>
          <w:sz w:val="28"/>
          <w:szCs w:val="28"/>
        </w:rPr>
        <w:t xml:space="preserve">на со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  <w:highlight w:val="none"/>
        </w:rPr>
        <w:t xml:space="preserve">ветствующую страницу ГИС НСО «</w:t>
      </w:r>
      <w:r>
        <w:rPr>
          <w:rFonts w:ascii="Times New Roman" w:hAnsi="Times New Roman"/>
          <w:sz w:val="28"/>
          <w:szCs w:val="28"/>
          <w:highlight w:val="none"/>
        </w:rPr>
        <w:t xml:space="preserve">Электронная демократия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https://dem.nso.ru/npa/bills/26471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 Татьяна Александровна</dc:creator>
  <cp:revision>20</cp:revision>
  <dcterms:created xsi:type="dcterms:W3CDTF">2024-02-28T02:18:00Z</dcterms:created>
  <dcterms:modified xsi:type="dcterms:W3CDTF">2025-07-16T09:08:33Z</dcterms:modified>
  <cp:version>983040</cp:version>
</cp:coreProperties>
</file>