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8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ind w:left="5670"/>
        <w:jc w:val="center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 организации оказания государственных услуг в социальной сфере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территории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Федеральным законом 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13.07.2020 № 189-ФЗ «О 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постановлением Правительства Российской Федерации от 13.10.2020 № 1678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енных (муниципальных) услуг в социальной сфере»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равительство Новосибирской области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п о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  <w:t xml:space="preserve"> с т а н о в л я е т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 Организовать оказание государственных услуг в социальной сфере на территории Новосибирской области в соответствии с положениями Федерального закона от 13.07.2020 № 189-ФЗ «О государственном (муниципальном) социальном заказе на оказание государственных (м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униципальных) услуг в социальной сфере» (далее – Федеральный закон).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Действие настоящего постановления распространяется на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деятельность,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осуществляемую в отношении физических лиц государственными учреждениями и в случаях, установленных законодательством Российской Федерации, иными юридическими лицами либо, если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ое не установлено федеральными законами, индивидуальными предпринимателями, физическими лицами – производителями товаров, работ, услуг в целях осуществления предусмотренных законодательством Российской Федерации полномочий органов государственной власти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 Установить, что реализация предусмотренных статьей 9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способов отбора исполнителей государственных услуг в социальной сфере осуществляется следующими уполномоченными органами: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1) министерством труда и социального развития Новосибирской области (далее – Минтруда и соцразвития НСО) в отношении следующих государственных услуг и мер государственной поддержки в социальной сфере (далее – государственные услуги в социальной сфере):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организация сопровождения при содействии занятости инвалидов;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2) министерством экономического развития Новосибирской области (далее –  Минэкономразвития НСО) в отношении следующих государственных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 (уникальный номер реестровой записи: 791211.Р.57.0.00010003000);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3) министерством образования Новосибирской области (далее – Минобразования НСО) в отношении следующих государственных услуг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дополнительных образовательных программ (за исключением дополнительных предпрофессиональных программ в области искусств). Уникальные номера реестровых записей: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52АЖ48000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(без указания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категории потребителей, видов образовательных программ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направленности,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очная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bookmarkEnd w:id="0"/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52АЖ49000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очная с применением дистанционных образовательных технологий);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52АЖ52000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 форма обучения: очно-заочная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52АЖ53000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очно-заочная с применением дистанцио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нных образовательных технологий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52АЖ56000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форма обучения: заочная);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52АЖ57000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форма обучения: заочная с применением дистанционных 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бразовательных технологий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52АЖ60000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очная с приме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нением сетевой формы реализации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52АЖ61000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форма обучения: очная с применением сетевой формы реализации и дистанцио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нных образовательных технологий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52АЖ64000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форма обучения: очно-заочная с применением сетевой формы реализации);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52АЖ65000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форма обучения: очно-заочная с применением сетевой формы реализации и дистанцио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нных образовательных технологий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52АЖ68000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заочная с применением сетевой формы реализации);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2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804200О.99.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0.ББ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52АЖ69000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без указания категории потребителей, видов образовательных программ направленности,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форма обучения: заочная с применением сетевой формы реализации и дистанционных образовательных технологий)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Утвердить прилагаемые: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показателей эффективности организации оказания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«Организация сопровождения при содействии занятости инвалидов»;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показателей эффективности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 оказания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«Услуга по созданию условий в Новосибирской области для обеспечения отдельных категорий граждан возможностью путешествовать с целью развития туристского потенциала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показателей эффективности организации оказания государственной услуги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реализации дополнительных образовательных программ (за исключением дополнительных предпрофессиональных программ в области искусств).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 В целях определения порядка информационного обеспечения организации оказания государственных услуг в социальной сфере на территории Новосибирской области определить: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1) перечень документов, обмен которыми между Минтруда и соцразвития НСО, потребителями государственны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социальной сфере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исполнителями государственных услуг в социальной сфере, участниками отбора исполнителей государственных услуг в социальной сфере, иными юридическими и физическими лицами осуществляется в том числе в форме электронных документов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при организации сопровождения при содействии занятости инвалидов: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 о необходимости организации сопровождения при содействии занятости инвалидов;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гражданина на предоставление государственной услуги в социальной сфере;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  <w:t xml:space="preserve">1.1) перечень документов при оказании услуги по созданию условий в Новосибирской обл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асти для обеспечения отдельных категорий граждан возможностью путешествовать с целью развития туристского потенциала Российской Федерации (далее – государственная услуга в сфере туризма), обмен которыми между Минэкономразвития НСО, потребителями государств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енной услуги в сфере туризма, исполнителями государственной услуги в сфере туризма, участниками отбора исполнителей государственной услуги в сфере туризма, иными юридическими и физическими лицами осуществляется (в том числе в форме электронных документов):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на включение в реестр исполнителей государственной услуги в социальной сфере по созданию условий в Новосибирской области для обеспечения отдельных кате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горий граждан возможностью путешествовать с целью развития туристского потенциала Российской Федерации в соответствии с социальным сертификатом (далее – реестр исполнителей государственной услуги в сфере туризма) на бумажном носителе, почтовым отправлением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в электронном виде с использованием Государственной информационной системы Новосибирской области «Автоматизированная информационная система управления процессами оказания мер государственной (муниципальной) поддержки»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Информационная система);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уведомление исполнителей государственной услуги в сфере туризма о включении (отказе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включении) в реестр исполнителей государственной услуги в сфере туризма осуществляется уполномоченным органом указанным в заявке способом, а в случае подачи заявки с использованием Информационной системы –  через личный кабинет в Информационной системе;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потребителя государственной услуги в сфере туризма о получении социального сертификата посредством Федеральной государственной информационной системы «Единый портал государственных и муниципальных услуг (функций)» (далее – ФГИС ЕПГУ);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 о реализ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ации туристского продукта, заключаемый между исполнителем государственной услуги в сфере туризма и потребителем государственной услуги в сфере туризма, в рамках предоставления государственной услуги в сфере туризма в соответствии с социальным сертификатом;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отчет исполнителя государственной услуги в сфере 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ризма об исполнении соглашения о возмещении затрат, связанных с предоставлением государственной услуги в сфере туризма в соответствии с социальным сертификатом, заключенного между Минэкономразвития НСО и исполнителем государственной услуги в сфере туризма;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иные документы, предусмотренные нормативными правовыми актами Российской Федерации 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1.2) при реализации дополнительных образовательных программ (за исключением дополнительных предпрофессиональных программ в области искусств) (далее – ДОП) перечень документов, обмен которыми между Минобразования НСО, потребителями государственны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х услуг в социальной сфере, исполнителями государственных услуг в социальной сфере, участниками отбора исполнителей государственных услуг в социальной сфере, иными юридическими и физическими лицами осуществляется в том числе в форме электронных документов: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исполнителя услуг на включение в реестр исполнителей государственных услуг по социальному сертификату;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потребителя услуг на оказание государственной услуги по реализации ДОП в соответствии с социальным сертификатом (заявление о зачислении на обучение и получении социального сертификата);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 между исполнителем услуг и получателем социального сертификата, заключенный в целях оказания государственной услуги по реализации ДОП;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иные документы, предусмотренные нормативными правовыми актами Российской Федерации 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2) государственные информационные системы Новосибирской области, используемые в целях организации оказания государственных услуг в социальной сфере: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а) государственная информационная система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(далее – ТИС СПГ);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государственная информационная система Новосибирской области «Автоматизированная информационная система управления процессами оказания мер государственной (муниципальной) поддержки»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в) государственная информационная система «Навигатор дополнительного образования Новосибирской области» (далее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ГИС Навигатор);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3) перечень информации и документов, формируемых с использованием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ГИС Навигатор: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исполнителей услуг по социальному сертификату;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получателей социального сертификата;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реестр социальных сертификатов;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заявка исполнителя услуг на включение в реестр исполнителей услуг по социальному сертификату;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соглашение о финансовом обеспечении (возмещении) затрат, связанных с оказанием государственной услуги в соответствии с социальным сертификатом на получение государственной услуги;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 потребителя услуг на оказание государственной услуги по реализации ДОП в соответствии с социальным сертификатом (заявление о зачислении на обучение и получении социального сертификата);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договор между исполнителем услуг и получателем социального сертификата, заключенный в целях оказания государственной услуги по реализации ДОП;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иные документы, предусмотренные нормативными правовыми актами Российской Федерации и Новосибирской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4) установить, что заявки на включение в реестр поставщиков социальных услуг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электронной форме направляются в соответствующие государственные информационные системы Новосибирской области, используемые в целях организации оказания государственных услуг в социальной сфере посредством ФГИС ЕПГУ.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 частью 9 статьи 19 Федерального закона, при заключении с исполнителями государственных услуг в социальной сфере соглашений о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финансовом обеспечении (возмещении) затрат, связанных с оказанием государственных услуг в социальной сфере в соответствии с социальным сертификатом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честве реестра исполнителей услуг по социальному сертификату, предусмотренного частью 16 статьи 9 Федерального закона, используется реестр поставщиков социальных услуг, сформированный в соответствии с Федеральным законом от 28.12.2013 № 442-ФЗ «Об основах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социального обслуживания граждан в Российской Федерации» и удовлетворяющий требованиям настоящего Федерального закона.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 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подпунктом «г» пункта 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сфере, утвержденных пост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ановлением Правительства Российской Федерации от 13.10.2020 № 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(муниципальных) услуг в социальной сфере», распоряжением Правительства Новосибирской области от 28.12.2020 № 622-рп «О создании рабочей группы по организации оказания государственных услуг в социальной сфере на территории Новосибирской области» утвержден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рабочей группы по организации оказания государственных услуг в социальной сфере на территории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Функции и полномочия рабочей группы по организации оказания государственной услуги по реализации дополнительных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образовательных программ (за исключением дополнительных предпрофессиональных программ в области искусств) осуществляет межведомственный совет по внедрению и реализации целевой модели дополнительного образования детей в Новосибирской области, образованный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Губернатора Новосибирской области от 30.07.2020 № 137 «О создании межведомственного совета по внедрению и реализации целевой модели дополнительного образования детей в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8. 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соответствии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Федеральным зак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оном от 26.12.2024 № 476-ФЗ «О внесении изменений в Федеральный закон «О государственном (муниципальном) социальном заказе на оказание государственных (муниципальных)   услуг   в   социальной сфере»  и  отдельные законодательные акты Российской Федерации»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признать утратившими силу: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постановление Правительства Новосибирской области от 28.12.2020 </w:t>
        <w:br/>
        <w:t xml:space="preserve">№ 558-п «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Об организации оказания государственных услуг в социальной сфере на территории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13.12.2021 </w:t>
        <w:br/>
        <w:t xml:space="preserve">№ 521-п «О внесении изменений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10.03.2022 № 78-п «О внесении изменений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05.05.2022 </w:t>
        <w:br/>
        <w:t xml:space="preserve">№ 193-п «О внесении изменения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19.09.2023 </w:t>
        <w:br/>
        <w:t xml:space="preserve">№ 439-п «О внесении изменений в постановление Правительства Новосибирской области от 28.12.2020 № 558-п»;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постановление Правительства Новосибирской области от 24.12.2024 </w:t>
        <w:br/>
        <w:t xml:space="preserve">№ 605-п «О внесении изменения в постановление Правительства Новосибирской области от 28.12.2020 № 558-п»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49"/>
        <w:ind w:lef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9. Контроль за исполнением настоящего постановления возложить на заместителя Губернатора Новосибирской области Хальзова К.В.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235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28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  <w:tab/>
        <w:tab/>
      </w:r>
      <w:r>
        <w:rPr>
          <w:rFonts w:ascii="Times New Roman" w:hAnsi="Times New Roman"/>
          <w:sz w:val="28"/>
          <w:szCs w:val="28"/>
        </w:rPr>
        <w:t xml:space="preserve"> </w:t>
        <w:tab/>
        <w:tab/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8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Е.М. Москалева</w:t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sz w:val="20"/>
          <w:szCs w:val="20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238 75 22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/>
          <w:szCs w:val="28"/>
        </w:rPr>
        <w:br w:type="page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9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544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2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28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28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86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9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образования </w:t>
              <w:br/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М.Н. Жафярова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  <w:lang w:eastAsia="ru-RU"/>
              </w:rPr>
            </w:r>
          </w:p>
        </w:tc>
      </w:tr>
      <w:tr>
        <w:tblPrEx/>
        <w:trPr>
          <w:trHeight w:val="86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И.о. министра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544" w:type="dxa"/>
            <w:vAlign w:val="top"/>
            <w:vMerge w:val="restart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Е.М. Москалева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2025г.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jc w:val="lef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4"/>
              </w:rPr>
              <w:t xml:space="preserve">Н</w:t>
            </w:r>
            <w:r>
              <w:rPr>
                <w:rFonts w:ascii="Times New Roman" w:hAnsi="Times New Roman"/>
                <w:szCs w:val="24"/>
              </w:rPr>
              <w:t xml:space="preserve">ачальник </w:t>
            </w:r>
            <w:r>
              <w:rPr>
                <w:rFonts w:ascii="Times New Roman" w:hAnsi="Times New Roman"/>
                <w:szCs w:val="24"/>
              </w:rPr>
              <w:t xml:space="preserve"> правового</w:t>
            </w:r>
            <w:r>
              <w:rPr>
                <w:rFonts w:ascii="Times New Roman" w:hAnsi="Times New Roman"/>
                <w:szCs w:val="24"/>
              </w:rPr>
              <w:t xml:space="preserve"> управления 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Е.В. 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занятости населени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О.И. Лаврова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57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Начальник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 управления комплексного анализа и социального проектирования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  <w:t xml:space="preserve">Т.А. Савченко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pStyle w:val="928"/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</w:tbl>
    <w:p>
      <w:pPr>
        <w:pStyle w:val="928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928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28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pStyle w:val="928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93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</w:t>
      </w:r>
      <w:r>
        <w:rPr>
          <w:rFonts w:ascii="Times New Roman" w:hAnsi="Times New Roman"/>
          <w:sz w:val="20"/>
          <w:szCs w:val="20"/>
        </w:rPr>
        <w:t xml:space="preserve">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nextPage"/>
      <w:pgSz w:w="11906" w:h="16838" w:orient="portrait"/>
      <w:pgMar w:top="964" w:right="567" w:bottom="567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  <w:jc w:val="center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  <w:p>
    <w:pPr>
      <w:pStyle w:val="778"/>
      <w:rPr>
        <w:rFonts w:ascii="Times New Roman" w:hAnsi="Times New Roman" w:cs="Times New Roman"/>
      </w:rPr>
    </w:pPr>
    <w:r>
      <w:rPr>
        <w:rFonts w:ascii="Times New Roman" w:hAnsi="Times New Roman" w:eastAsia="Times New Roman" w:cs="Times New Roman"/>
      </w:rPr>
    </w: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75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487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688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0" w:firstLine="709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4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5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6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6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7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8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97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13"/>
  </w:num>
  <w:num w:numId="5">
    <w:abstractNumId w:val="16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4"/>
  </w:num>
  <w:num w:numId="11">
    <w:abstractNumId w:val="15"/>
  </w:num>
  <w:num w:numId="12">
    <w:abstractNumId w:val="20"/>
  </w:num>
  <w:num w:numId="13">
    <w:abstractNumId w:val="9"/>
  </w:num>
  <w:num w:numId="14">
    <w:abstractNumId w:val="8"/>
  </w:num>
  <w:num w:numId="15">
    <w:abstractNumId w:val="11"/>
  </w:num>
  <w:num w:numId="16">
    <w:abstractNumId w:val="17"/>
  </w:num>
  <w:num w:numId="17">
    <w:abstractNumId w:val="21"/>
  </w:num>
  <w:num w:numId="18">
    <w:abstractNumId w:val="0"/>
  </w:num>
  <w:num w:numId="19">
    <w:abstractNumId w:val="5"/>
  </w:num>
  <w:num w:numId="20">
    <w:abstractNumId w:val="1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0">
    <w:name w:val="Heading 1"/>
    <w:basedOn w:val="928"/>
    <w:next w:val="928"/>
    <w:link w:val="7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1">
    <w:name w:val="Heading 1 Char"/>
    <w:link w:val="750"/>
    <w:uiPriority w:val="9"/>
    <w:rPr>
      <w:rFonts w:ascii="Arial" w:hAnsi="Arial" w:eastAsia="Arial" w:cs="Arial"/>
      <w:sz w:val="40"/>
      <w:szCs w:val="40"/>
    </w:rPr>
  </w:style>
  <w:style w:type="paragraph" w:styleId="752">
    <w:name w:val="Heading 2"/>
    <w:basedOn w:val="928"/>
    <w:next w:val="928"/>
    <w:link w:val="75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3">
    <w:name w:val="Heading 2 Char"/>
    <w:link w:val="752"/>
    <w:uiPriority w:val="9"/>
    <w:rPr>
      <w:rFonts w:ascii="Arial" w:hAnsi="Arial" w:eastAsia="Arial" w:cs="Arial"/>
      <w:sz w:val="34"/>
    </w:rPr>
  </w:style>
  <w:style w:type="paragraph" w:styleId="754">
    <w:name w:val="Heading 3"/>
    <w:basedOn w:val="928"/>
    <w:next w:val="928"/>
    <w:link w:val="7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5">
    <w:name w:val="Heading 3 Char"/>
    <w:link w:val="754"/>
    <w:uiPriority w:val="9"/>
    <w:rPr>
      <w:rFonts w:ascii="Arial" w:hAnsi="Arial" w:eastAsia="Arial" w:cs="Arial"/>
      <w:sz w:val="30"/>
      <w:szCs w:val="30"/>
    </w:rPr>
  </w:style>
  <w:style w:type="paragraph" w:styleId="756">
    <w:name w:val="Heading 4"/>
    <w:basedOn w:val="928"/>
    <w:next w:val="928"/>
    <w:link w:val="7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7">
    <w:name w:val="Heading 4 Char"/>
    <w:link w:val="756"/>
    <w:uiPriority w:val="9"/>
    <w:rPr>
      <w:rFonts w:ascii="Arial" w:hAnsi="Arial" w:eastAsia="Arial" w:cs="Arial"/>
      <w:b/>
      <w:bCs/>
      <w:sz w:val="26"/>
      <w:szCs w:val="26"/>
    </w:rPr>
  </w:style>
  <w:style w:type="paragraph" w:styleId="758">
    <w:name w:val="Heading 5"/>
    <w:basedOn w:val="928"/>
    <w:next w:val="928"/>
    <w:link w:val="7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9">
    <w:name w:val="Heading 5 Char"/>
    <w:link w:val="758"/>
    <w:uiPriority w:val="9"/>
    <w:rPr>
      <w:rFonts w:ascii="Arial" w:hAnsi="Arial" w:eastAsia="Arial" w:cs="Arial"/>
      <w:b/>
      <w:bCs/>
      <w:sz w:val="24"/>
      <w:szCs w:val="24"/>
    </w:rPr>
  </w:style>
  <w:style w:type="paragraph" w:styleId="760">
    <w:name w:val="Heading 6"/>
    <w:basedOn w:val="928"/>
    <w:next w:val="928"/>
    <w:link w:val="7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1">
    <w:name w:val="Heading 6 Char"/>
    <w:link w:val="760"/>
    <w:uiPriority w:val="9"/>
    <w:rPr>
      <w:rFonts w:ascii="Arial" w:hAnsi="Arial" w:eastAsia="Arial" w:cs="Arial"/>
      <w:b/>
      <w:bCs/>
      <w:sz w:val="22"/>
      <w:szCs w:val="22"/>
    </w:rPr>
  </w:style>
  <w:style w:type="paragraph" w:styleId="762">
    <w:name w:val="Heading 7"/>
    <w:basedOn w:val="928"/>
    <w:next w:val="928"/>
    <w:link w:val="7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>
    <w:name w:val="Heading 7 Char"/>
    <w:link w:val="7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4">
    <w:name w:val="Heading 8"/>
    <w:basedOn w:val="928"/>
    <w:next w:val="928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5">
    <w:name w:val="Heading 8 Char"/>
    <w:link w:val="764"/>
    <w:uiPriority w:val="9"/>
    <w:rPr>
      <w:rFonts w:ascii="Arial" w:hAnsi="Arial" w:eastAsia="Arial" w:cs="Arial"/>
      <w:i/>
      <w:iCs/>
      <w:sz w:val="22"/>
      <w:szCs w:val="22"/>
    </w:rPr>
  </w:style>
  <w:style w:type="paragraph" w:styleId="766">
    <w:name w:val="Heading 9"/>
    <w:basedOn w:val="928"/>
    <w:next w:val="928"/>
    <w:link w:val="7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7">
    <w:name w:val="Heading 9 Char"/>
    <w:link w:val="766"/>
    <w:uiPriority w:val="9"/>
    <w:rPr>
      <w:rFonts w:ascii="Arial" w:hAnsi="Arial" w:eastAsia="Arial" w:cs="Arial"/>
      <w:i/>
      <w:iCs/>
      <w:sz w:val="21"/>
      <w:szCs w:val="21"/>
    </w:rPr>
  </w:style>
  <w:style w:type="paragraph" w:styleId="768">
    <w:name w:val="List Paragraph"/>
    <w:basedOn w:val="928"/>
    <w:uiPriority w:val="34"/>
    <w:qFormat/>
    <w:pPr>
      <w:contextualSpacing/>
      <w:ind w:left="720"/>
    </w:p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8"/>
    <w:next w:val="928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link w:val="770"/>
    <w:uiPriority w:val="10"/>
    <w:rPr>
      <w:sz w:val="48"/>
      <w:szCs w:val="48"/>
    </w:rPr>
  </w:style>
  <w:style w:type="paragraph" w:styleId="772">
    <w:name w:val="Subtitle"/>
    <w:basedOn w:val="928"/>
    <w:next w:val="928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link w:val="772"/>
    <w:uiPriority w:val="11"/>
    <w:rPr>
      <w:sz w:val="24"/>
      <w:szCs w:val="24"/>
    </w:rPr>
  </w:style>
  <w:style w:type="paragraph" w:styleId="774">
    <w:name w:val="Quote"/>
    <w:basedOn w:val="928"/>
    <w:next w:val="928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8"/>
    <w:next w:val="928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paragraph" w:styleId="778">
    <w:name w:val="Header"/>
    <w:basedOn w:val="928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9">
    <w:name w:val="Header Char"/>
    <w:link w:val="778"/>
    <w:uiPriority w:val="99"/>
  </w:style>
  <w:style w:type="paragraph" w:styleId="780">
    <w:name w:val="Footer"/>
    <w:basedOn w:val="928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1">
    <w:name w:val="Footer Char"/>
    <w:link w:val="780"/>
    <w:uiPriority w:val="99"/>
  </w:style>
  <w:style w:type="paragraph" w:styleId="782">
    <w:name w:val="Caption"/>
    <w:basedOn w:val="928"/>
    <w:next w:val="9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3">
    <w:name w:val="Caption Char"/>
    <w:basedOn w:val="782"/>
    <w:link w:val="780"/>
    <w:uiPriority w:val="99"/>
  </w:style>
  <w:style w:type="table" w:styleId="78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10">
    <w:name w:val="Hyperlink"/>
    <w:uiPriority w:val="99"/>
    <w:unhideWhenUsed/>
    <w:rPr>
      <w:color w:val="0000ff" w:themeColor="hyperlink"/>
      <w:u w:val="single"/>
    </w:rPr>
  </w:style>
  <w:style w:type="paragraph" w:styleId="911">
    <w:name w:val="footnote text"/>
    <w:basedOn w:val="928"/>
    <w:link w:val="912"/>
    <w:uiPriority w:val="99"/>
    <w:semiHidden/>
    <w:unhideWhenUsed/>
    <w:pPr>
      <w:spacing w:after="40" w:line="240" w:lineRule="auto"/>
    </w:pPr>
    <w:rPr>
      <w:sz w:val="18"/>
    </w:rPr>
  </w:style>
  <w:style w:type="character" w:styleId="912">
    <w:name w:val="Footnote Text Char"/>
    <w:link w:val="911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928"/>
    <w:link w:val="915"/>
    <w:uiPriority w:val="99"/>
    <w:semiHidden/>
    <w:unhideWhenUsed/>
    <w:pPr>
      <w:spacing w:after="0" w:line="240" w:lineRule="auto"/>
    </w:pPr>
    <w:rPr>
      <w:sz w:val="20"/>
    </w:rPr>
  </w:style>
  <w:style w:type="character" w:styleId="915">
    <w:name w:val="Endnote Text Char"/>
    <w:link w:val="914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928"/>
    <w:next w:val="928"/>
    <w:uiPriority w:val="39"/>
    <w:unhideWhenUsed/>
    <w:pPr>
      <w:ind w:left="0" w:right="0" w:firstLine="0"/>
      <w:spacing w:after="57"/>
    </w:pPr>
  </w:style>
  <w:style w:type="paragraph" w:styleId="918">
    <w:name w:val="toc 2"/>
    <w:basedOn w:val="928"/>
    <w:next w:val="928"/>
    <w:uiPriority w:val="39"/>
    <w:unhideWhenUsed/>
    <w:pPr>
      <w:ind w:left="283" w:right="0" w:firstLine="0"/>
      <w:spacing w:after="57"/>
    </w:pPr>
  </w:style>
  <w:style w:type="paragraph" w:styleId="919">
    <w:name w:val="toc 3"/>
    <w:basedOn w:val="928"/>
    <w:next w:val="928"/>
    <w:uiPriority w:val="39"/>
    <w:unhideWhenUsed/>
    <w:pPr>
      <w:ind w:left="567" w:right="0" w:firstLine="0"/>
      <w:spacing w:after="57"/>
    </w:pPr>
  </w:style>
  <w:style w:type="paragraph" w:styleId="920">
    <w:name w:val="toc 4"/>
    <w:basedOn w:val="928"/>
    <w:next w:val="928"/>
    <w:uiPriority w:val="39"/>
    <w:unhideWhenUsed/>
    <w:pPr>
      <w:ind w:left="850" w:right="0" w:firstLine="0"/>
      <w:spacing w:after="57"/>
    </w:pPr>
  </w:style>
  <w:style w:type="paragraph" w:styleId="921">
    <w:name w:val="toc 5"/>
    <w:basedOn w:val="928"/>
    <w:next w:val="928"/>
    <w:uiPriority w:val="39"/>
    <w:unhideWhenUsed/>
    <w:pPr>
      <w:ind w:left="1134" w:right="0" w:firstLine="0"/>
      <w:spacing w:after="57"/>
    </w:pPr>
  </w:style>
  <w:style w:type="paragraph" w:styleId="922">
    <w:name w:val="toc 6"/>
    <w:basedOn w:val="928"/>
    <w:next w:val="928"/>
    <w:uiPriority w:val="39"/>
    <w:unhideWhenUsed/>
    <w:pPr>
      <w:ind w:left="1417" w:right="0" w:firstLine="0"/>
      <w:spacing w:after="57"/>
    </w:pPr>
  </w:style>
  <w:style w:type="paragraph" w:styleId="923">
    <w:name w:val="toc 7"/>
    <w:basedOn w:val="928"/>
    <w:next w:val="928"/>
    <w:uiPriority w:val="39"/>
    <w:unhideWhenUsed/>
    <w:pPr>
      <w:ind w:left="1701" w:right="0" w:firstLine="0"/>
      <w:spacing w:after="57"/>
    </w:pPr>
  </w:style>
  <w:style w:type="paragraph" w:styleId="924">
    <w:name w:val="toc 8"/>
    <w:basedOn w:val="928"/>
    <w:next w:val="928"/>
    <w:uiPriority w:val="39"/>
    <w:unhideWhenUsed/>
    <w:pPr>
      <w:ind w:left="1984" w:right="0" w:firstLine="0"/>
      <w:spacing w:after="57"/>
    </w:pPr>
  </w:style>
  <w:style w:type="paragraph" w:styleId="925">
    <w:name w:val="toc 9"/>
    <w:basedOn w:val="928"/>
    <w:next w:val="928"/>
    <w:uiPriority w:val="39"/>
    <w:unhideWhenUsed/>
    <w:pPr>
      <w:ind w:left="2268" w:right="0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928"/>
    <w:next w:val="928"/>
    <w:uiPriority w:val="99"/>
    <w:unhideWhenUsed/>
    <w:pPr>
      <w:spacing w:after="0" w:afterAutospacing="0"/>
    </w:pPr>
  </w:style>
  <w:style w:type="paragraph" w:styleId="928" w:default="1">
    <w:name w:val="Normal"/>
    <w:next w:val="928"/>
    <w:link w:val="92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929">
    <w:name w:val="Основной шрифт абзаца"/>
    <w:next w:val="929"/>
    <w:link w:val="928"/>
    <w:uiPriority w:val="1"/>
    <w:semiHidden/>
    <w:unhideWhenUsed/>
  </w:style>
  <w:style w:type="table" w:styleId="930">
    <w:name w:val="Обычная таблица"/>
    <w:next w:val="930"/>
    <w:link w:val="928"/>
    <w:uiPriority w:val="99"/>
    <w:semiHidden/>
    <w:unhideWhenUsed/>
    <w:tblPr/>
  </w:style>
  <w:style w:type="numbering" w:styleId="931">
    <w:name w:val="Нет списка"/>
    <w:next w:val="931"/>
    <w:link w:val="928"/>
    <w:uiPriority w:val="99"/>
    <w:semiHidden/>
    <w:unhideWhenUsed/>
  </w:style>
  <w:style w:type="paragraph" w:styleId="932">
    <w:name w:val="Абзац списка"/>
    <w:basedOn w:val="928"/>
    <w:next w:val="932"/>
    <w:link w:val="928"/>
    <w:uiPriority w:val="34"/>
    <w:qFormat/>
    <w:pPr>
      <w:contextualSpacing/>
      <w:ind w:left="720"/>
    </w:pPr>
  </w:style>
  <w:style w:type="paragraph" w:styleId="933">
    <w:name w:val="Текст сноски"/>
    <w:basedOn w:val="928"/>
    <w:next w:val="933"/>
    <w:link w:val="934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34">
    <w:name w:val="Текст сноски Знак"/>
    <w:next w:val="934"/>
    <w:link w:val="93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35">
    <w:name w:val="Нижний колонтитул"/>
    <w:basedOn w:val="928"/>
    <w:next w:val="935"/>
    <w:link w:val="9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basedOn w:val="929"/>
    <w:next w:val="936"/>
    <w:link w:val="935"/>
    <w:uiPriority w:val="99"/>
  </w:style>
  <w:style w:type="paragraph" w:styleId="937">
    <w:name w:val="Верхний колонтитул"/>
    <w:basedOn w:val="928"/>
    <w:next w:val="937"/>
    <w:link w:val="9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8">
    <w:name w:val="Верхний колонтитул Знак"/>
    <w:basedOn w:val="929"/>
    <w:next w:val="938"/>
    <w:link w:val="937"/>
    <w:uiPriority w:val="99"/>
  </w:style>
  <w:style w:type="table" w:styleId="939">
    <w:name w:val="Сетка таблицы"/>
    <w:basedOn w:val="930"/>
    <w:next w:val="939"/>
    <w:link w:val="928"/>
    <w:uiPriority w:val="59"/>
    <w:pPr>
      <w:spacing w:after="0" w:line="240" w:lineRule="auto"/>
    </w:pPr>
    <w:tblPr/>
  </w:style>
  <w:style w:type="paragraph" w:styleId="940">
    <w:name w:val="Текст выноски"/>
    <w:basedOn w:val="928"/>
    <w:next w:val="940"/>
    <w:link w:val="94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41">
    <w:name w:val="Текст выноски Знак"/>
    <w:next w:val="941"/>
    <w:link w:val="940"/>
    <w:uiPriority w:val="99"/>
    <w:semiHidden/>
    <w:rPr>
      <w:rFonts w:ascii="Tahoma" w:hAnsi="Tahoma" w:cs="Tahoma"/>
      <w:sz w:val="16"/>
      <w:szCs w:val="16"/>
    </w:rPr>
  </w:style>
  <w:style w:type="paragraph" w:styleId="942">
    <w:name w:val="ConsPlusTitle"/>
    <w:next w:val="942"/>
    <w:link w:val="928"/>
    <w:uiPriority w:val="99"/>
    <w:pPr>
      <w:widowControl w:val="off"/>
    </w:pPr>
    <w:rPr>
      <w:rFonts w:ascii="Arial" w:hAnsi="Arial" w:eastAsia="Times New Roman" w:cs="Arial"/>
      <w:b/>
      <w:bCs/>
      <w:lang w:val="ru-RU" w:eastAsia="ru-RU" w:bidi="ar-SA"/>
    </w:rPr>
  </w:style>
  <w:style w:type="paragraph" w:styleId="943">
    <w:name w:val="Основной текст с отступом"/>
    <w:basedOn w:val="928"/>
    <w:next w:val="943"/>
    <w:link w:val="944"/>
    <w:uiPriority w:val="99"/>
    <w:unhideWhenUsed/>
    <w:pPr>
      <w:ind w:left="283"/>
      <w:spacing w:after="120"/>
    </w:pPr>
    <w:rPr>
      <w:rFonts w:ascii="Calibri" w:hAnsi="Calibri" w:eastAsia="Times New Roman" w:cs="Times New Roman"/>
    </w:rPr>
  </w:style>
  <w:style w:type="character" w:styleId="944">
    <w:name w:val="Основной текст с отступом Знак"/>
    <w:next w:val="944"/>
    <w:link w:val="943"/>
    <w:uiPriority w:val="99"/>
    <w:rPr>
      <w:rFonts w:ascii="Calibri" w:hAnsi="Calibri" w:eastAsia="Times New Roman" w:cs="Times New Roman"/>
    </w:rPr>
  </w:style>
  <w:style w:type="character" w:styleId="945">
    <w:name w:val="Гиперссылка"/>
    <w:next w:val="945"/>
    <w:link w:val="928"/>
    <w:uiPriority w:val="99"/>
    <w:unhideWhenUsed/>
    <w:rPr>
      <w:rFonts w:cs="Times New Roman"/>
      <w:color w:val="0000ff"/>
      <w:u w:val="single"/>
    </w:rPr>
  </w:style>
  <w:style w:type="paragraph" w:styleId="946">
    <w:name w:val="ConsPlusNonformat"/>
    <w:next w:val="946"/>
    <w:link w:val="92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947">
    <w:name w:val="Текст"/>
    <w:basedOn w:val="928"/>
    <w:next w:val="947"/>
    <w:link w:val="948"/>
    <w:uiPriority w:val="99"/>
    <w:semiHidden/>
    <w:unhideWhenUsed/>
    <w:pPr>
      <w:spacing w:after="0" w:line="240" w:lineRule="auto"/>
    </w:pPr>
    <w:rPr>
      <w:rFonts w:ascii="Calibri" w:hAnsi="Calibri"/>
      <w:szCs w:val="21"/>
    </w:rPr>
  </w:style>
  <w:style w:type="character" w:styleId="948">
    <w:name w:val="Текст Знак"/>
    <w:next w:val="948"/>
    <w:link w:val="947"/>
    <w:uiPriority w:val="99"/>
    <w:semiHidden/>
    <w:rPr>
      <w:rFonts w:ascii="Calibri" w:hAnsi="Calibri"/>
      <w:szCs w:val="21"/>
    </w:rPr>
  </w:style>
  <w:style w:type="paragraph" w:styleId="949">
    <w:name w:val="ConsPlusNormal"/>
    <w:next w:val="949"/>
    <w:link w:val="950"/>
    <w:qFormat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950">
    <w:name w:val="ConsPlusNormal Знак"/>
    <w:next w:val="950"/>
    <w:link w:val="949"/>
    <w:rPr>
      <w:rFonts w:ascii="Arial" w:hAnsi="Arial" w:eastAsia="Times New Roman" w:cs="Arial"/>
      <w:sz w:val="20"/>
      <w:szCs w:val="20"/>
      <w:lang w:eastAsia="ru-RU"/>
    </w:rPr>
  </w:style>
  <w:style w:type="character" w:styleId="951" w:default="1">
    <w:name w:val="Default Paragraph Font"/>
    <w:uiPriority w:val="1"/>
    <w:semiHidden/>
    <w:unhideWhenUsed/>
  </w:style>
  <w:style w:type="numbering" w:styleId="952" w:default="1">
    <w:name w:val="No List"/>
    <w:uiPriority w:val="99"/>
    <w:semiHidden/>
    <w:unhideWhenUsed/>
  </w:style>
  <w:style w:type="table" w:styleId="9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Людмила Владимировна</dc:creator>
  <cp:revision>15</cp:revision>
  <dcterms:created xsi:type="dcterms:W3CDTF">2023-03-21T10:11:00Z</dcterms:created>
  <dcterms:modified xsi:type="dcterms:W3CDTF">2025-04-15T05:09:42Z</dcterms:modified>
  <cp:version>917504</cp:version>
</cp:coreProperties>
</file>