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 w:firstLine="48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отдельные постановления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</w:t>
      </w:r>
      <w:r>
        <w:rPr>
          <w:b/>
          <w:color w:val="000000"/>
          <w:sz w:val="28"/>
          <w:szCs w:val="28"/>
        </w:rPr>
        <w:t xml:space="preserve">т</w:t>
      </w:r>
      <w:r>
        <w:rPr>
          <w:b/>
          <w:color w:val="000000"/>
          <w:sz w:val="28"/>
          <w:szCs w:val="28"/>
        </w:rPr>
        <w:t xml:space="preserve">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Внести в постановление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  <w:t xml:space="preserve">от 11.02.2020 № 23-п </w:t>
      </w:r>
      <w:r>
        <w:rPr>
          <w:sz w:val="28"/>
          <w:szCs w:val="28"/>
        </w:rPr>
        <w:t xml:space="preserve">«О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преамбулу после слов «</w:t>
      </w:r>
      <w:r>
        <w:rPr>
          <w:sz w:val="28"/>
          <w:szCs w:val="28"/>
          <w:highlight w:val="none"/>
        </w:rPr>
        <w:t xml:space="preserve">Закона Новосибирской области от 05.12.2016 № 112-ОЗ «Об отдельных вопросах регулирования земельных отношений на территории Новосибирской области»» дополнить словами «, Законом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от 24.12.2024 № 540-ОЗ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 наделении органов местного самоуправления муниципальных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образований Новосибирск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ой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отдельным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государственным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полномочиями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в сфере социальной поддержки отдельных категорий граждан</w:t>
      </w:r>
      <w:r>
        <w:rPr>
          <w:b w:val="0"/>
          <w:bCs w:val="0"/>
          <w:sz w:val="28"/>
          <w:szCs w:val="28"/>
          <w:highlight w:val="none"/>
        </w:rPr>
        <w:t xml:space="preserve">»»;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2) </w:t>
      </w:r>
      <w:r>
        <w:rPr>
          <w:b w:val="0"/>
          <w:bCs w:val="0"/>
          <w:sz w:val="28"/>
          <w:szCs w:val="28"/>
          <w:highlight w:val="none"/>
        </w:rPr>
        <w:t xml:space="preserve">в пункте 2 слова «Нелюбова С.А.</w:t>
      </w:r>
      <w:r>
        <w:rPr>
          <w:b w:val="0"/>
          <w:bCs w:val="0"/>
          <w:sz w:val="28"/>
          <w:szCs w:val="28"/>
          <w:highlight w:val="none"/>
        </w:rPr>
        <w:t xml:space="preserve">» заменить словами «Хальзова К.В.»;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3) </w:t>
      </w:r>
      <w:r>
        <w:rPr>
          <w:b w:val="0"/>
          <w:bCs w:val="0"/>
          <w:sz w:val="28"/>
          <w:szCs w:val="28"/>
          <w:highlight w:val="none"/>
        </w:rPr>
        <w:t xml:space="preserve">в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а) пункт 1 </w:t>
      </w:r>
      <w:r>
        <w:rPr>
          <w:b w:val="0"/>
          <w:bCs w:val="0"/>
          <w:sz w:val="28"/>
          <w:szCs w:val="28"/>
          <w:highlight w:val="none"/>
        </w:rPr>
        <w:t xml:space="preserve">дополнить абзацем вторым следующего содержания: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Предоставление </w:t>
      </w:r>
      <w:r>
        <w:rPr>
          <w:b w:val="0"/>
          <w:bCs w:val="0"/>
          <w:sz w:val="28"/>
          <w:szCs w:val="28"/>
          <w:highlight w:val="none"/>
        </w:rPr>
        <w:t xml:space="preserve">единовременной денежной выплаты </w:t>
      </w:r>
      <w:r>
        <w:rPr>
          <w:b w:val="0"/>
          <w:bCs w:val="0"/>
          <w:sz w:val="28"/>
          <w:szCs w:val="28"/>
          <w:highlight w:val="none"/>
        </w:rPr>
        <w:t xml:space="preserve">осуществляется органами местног</w:t>
      </w:r>
      <w:r>
        <w:rPr>
          <w:b w:val="0"/>
          <w:bCs w:val="0"/>
          <w:sz w:val="28"/>
          <w:szCs w:val="28"/>
          <w:highlight w:val="none"/>
        </w:rPr>
        <w:t xml:space="preserve">о самоуправления муниципальных образований Новосибирской области</w:t>
      </w:r>
      <w:r>
        <w:rPr>
          <w:b w:val="0"/>
          <w:bCs w:val="0"/>
          <w:sz w:val="28"/>
          <w:szCs w:val="28"/>
          <w:highlight w:val="none"/>
        </w:rPr>
        <w:t xml:space="preserve">, наделенных отдельными государственными полномочиями Новосибирской области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граждана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м, 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имеющим трех и более детей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принятых под опеку (попечительство), пасынков и падчериц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единовременной денежной выплаты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предусмотренной статьей 6.1 Закона Новоси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бирской области от 05.12.2016 №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112-ОЗ «Об отдельных вопросах регулирования земельных отношений на территории Новосибирской области»</w:t>
      </w:r>
      <w:r>
        <w:rPr>
          <w:b w:val="0"/>
          <w:bCs w:val="0"/>
          <w:sz w:val="28"/>
          <w:szCs w:val="28"/>
          <w:highlight w:val="none"/>
        </w:rPr>
        <w:t xml:space="preserve"> (далее соответственно - органы местного самоуправления, </w:t>
      </w:r>
      <w:r>
        <w:rPr>
          <w:b w:val="0"/>
          <w:bCs w:val="0"/>
          <w:sz w:val="28"/>
          <w:szCs w:val="28"/>
          <w:highlight w:val="none"/>
        </w:rPr>
        <w:t xml:space="preserve">Закон № 112-ОЗ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б) пункт 4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«4.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Единовременная денежная выплата предоставляется однократно в размере, установленном частью 2 статьи 6.1 Закона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№ 112-ОЗ.»;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«5.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Орган местного самоуправления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по месту постоянного проживания гражданина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исходя из данных,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имеющихся в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сводном реестре граждан, состоящих на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учете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на земельный участок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формирует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список граждан, имеющих право на получение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(далее - список)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исходя из даты постановки гражданина на учет на земельный участок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если гражданин состоит на учете на земельный участок в нескольких органах местного самоуправления либо на учете на земельный участок в министерстве труда и социального развития Новосибирской области - по более ранней дате поста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новки на учет на земельный участок)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отношении граждан, постоянно проживающих в пределах городского округа Новосибирской области, зарегистрированных по месту жительства или месту пребывания в городском округе Новосибирской области,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список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формируется органом местного самоуправления муниципального округа, муниципального района Новосибирской области, прилегающего к соответствующему городскому округу Новосибирской области, в котором они встали на учет на земельный учет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Список формируется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государственной информационной системе Новосибирской области «Межведомственная автоматизированная информац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ионная система»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(далее - информационная система)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, порядок ведения которого установлен постановлением Правител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ства Новосибирской области от 20.07.2015 № 271-п «Об установлении Порядка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ласти или муниципальной собственности, а также земельного участка, государственная собственность на который не разграничена, в собственность бесплатно»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Первоначальный список формируется из числа граждан, состоящих на учете на земельный участок,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до 1 февраля 2025 года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далее - ежемесячно по состоянию на 1 число каждого месяца.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г)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дополнить пунктами 5.1, 5.2 следующего содержания: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«5.1. Органом местного самоуправления в течение 10 рабочих дней со дня формирования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списка осуществляется рассылка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гражданам, включенным в список,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уведомлений о возможности получения единовременной денежной выплаты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министерства труда и социального развития Новосибирской области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от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22.02.2024 № 304-НПА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«Об 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(далее - приказ № 304-НПА)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Рассылка уведомлений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о возможности получения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осуществляется в порядке очередности исходя из даты постановки гражданина на учет на земельный участок.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5.2. Уведомление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о возможности получения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содержит: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1) информацию о размере единовременной денежной выплаты, определенном в соответствии с частью 2 статьи 6.1 Закона № 112-ОЗ;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2) информацию о целях, на которые может быть использована единовременная денежная выплата;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3) перечень документов, которые необходимо представить для получения единовременной денежной выплаты.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д) пункт 8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8. Гражданин, включенный в список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которому направлено уведомление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(далее - заявитель), или его представитель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имеет право обратиться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за предоставлением единовременной денежной выплаты в орган местного самоуправления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месту жительства либо в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представив заявление о предоставлении единовременной денежной выплаты (далее - заявление)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№ 304-НПА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 приложением следующих документов: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1)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копии свидетельства о рождении каждого ребенка (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его нотариально удостоверенного перевода на русский язык);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2) выписки из решения органа опеки и попечительства об установлении над ребенком (детьми) опеки (попечительства) (представляются заявителем, являющимся опекуном (попечителем), по собственной инициативе);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) копии свидетельства о заключении брака родителей (опекунов, попечителей) (представляется родителями (опекунами, попечителями), состоящими между собой в браке, вправе представить по собственной инициативе, за исключением свидетельства о госуд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) документа (документов), подтверждающего (подтверждающих) место жительства (пребывания) детей на территории Новосибирской области, в случае раздельного проживания родителей (опекунов, попечителей) - документа (документов), подтверждающего (подтверждающих)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место жительства (пребывания) детей совместно с заявителем на территории Новосибирской области (свидетельство о регистрации по месту жительства (пребывания) либо паспорт с отметкой о регистрации по месту жительства (если он не представляется в качестве док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умента, удостоверяющего личность ребенка), которые представляются по собственной инициативе, либо решение суда об установлении юридического факта проживания ребенка по определенному адресу);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5) документа, подтверждающего согласие супруга (супруги) заявителя на получение заявителем единовременной денежной выплаты, 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№ 304-НПА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6)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документа, подтверждающего, что гражданин состоит на учете в качестве нуждающегося в жилом помещении, выданного не ранее 14 дней до дня обращения (вправе представить по собственной инициативе);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7)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письменного обязательства о целевом использовании единовременной денежной выплаты 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№ 304-НПА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8)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копии документа, подтверждающего регистрацию в системе индивидуального (персонифицированного) учета (вправе представить по собственной инициативе).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 подаче заявителем (представителем) заявления в орган местного самоуправления лично либо через многофункциональный центр предоставления государственных и муниципальных услуг предъявляется документ, удостоверяющий личность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заявителя (представителя)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green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случае обращения представителя заявителя дополнительно представляется документ, подтверждающий его полномочия.</w:t>
      </w:r>
      <w:r>
        <w:rPr>
          <w:rFonts w:ascii="Times New Roman" w:hAnsi="Times New Roman"/>
          <w:spacing w:val="-2"/>
          <w:sz w:val="28"/>
          <w:szCs w:val="28"/>
          <w:highlight w:val="green"/>
        </w:rPr>
      </w:r>
      <w:r>
        <w:rPr>
          <w:rFonts w:ascii="Times New Roman" w:hAnsi="Times New Roman"/>
          <w:spacing w:val="-2"/>
          <w:sz w:val="28"/>
          <w:szCs w:val="28"/>
          <w:highlight w:val="gree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Если документы, представляемые заявителем по собственной инициативе, не представлены заявителем (представителем), информация (сведения) о них запрашивается органом местного самоуправления посредством межведомственного информационного взаимодействия.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Если для получения единовременной денежной выплаты необходима обработка персональных данных лица, не являющегося заявителем, и если в соответствии с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Федеральным законом от 27.07.2006 № 152-ФЗ «О персональных данных»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обработка таких персональных данных может осуществляться с согласия указанного лица, зая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абзаце первом пункта 9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слова «о предоставлении единовременной денежной выплаты» исключить;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ж) в абзацах первом, втором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пункта 10 слова «центр социальной поддержки населения» заменить словами «орган местного самоуправления»;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з)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пункте 11: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абзаце первом слова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центра социальной поддержки населения» заменить словами «органа местного самоуправления»;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подпункт 4 признать утратившим силу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подпункте 5 слова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министерством, и документы, подтверждающие произведенные расходы, и в течение 10 рабочих дней со дня их поступления направляет в министерство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№ 304-НПА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и документы, подтверждающие произведенные расходы»;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и) в пункте 12: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первый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«12. Орган местного самоуправления:»;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пят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ый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случае направления запроса в другие государственные органы, органы местного самоуправления или должностному лицу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орган местного самоуправления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вправе продлить срок рассмотрения заявления и принятия решения не более чем на 30 дней, уведомив о продлении срока рассмотрения з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аявления и принятия решения заявителя (представителя) в течение трех рабочих дней со дня продления;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восьмой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Финансирование расходов на предоставление единовременной денежной выплаты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св</w:t>
      </w:r>
      <w:r>
        <w:rPr>
          <w:rFonts w:ascii="Times New Roman" w:hAnsi="Times New Roman" w:cs="Times New Roman"/>
          <w:sz w:val="28"/>
          <w:szCs w:val="28"/>
        </w:rPr>
        <w:t xml:space="preserve">одной бюджетной росписью областного бюджета Новосибирской области в пределах бюджетных ассигнований и лимитов бюджетных обязательств, предусмотренных на осуществление отдельн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к) в пункте 15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слово «Министерство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 заменить словами «Орган местного самоуправления», дополнить словами «и снятии граждан с учета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на земельный участок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л)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 15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.1 признать утратившим силу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м) пункт 16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«16.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течение одного года со дня перечисления единовременной денежной выплаты заявитель обязан представить в орган местного самоуправления по месту жительства отчет о целевом использовании единовременной денежной выплаты по форме, утвержденной приказом № 304-НПА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и документы, подтверждающие произведенные расходы. Гражданин вправе представить по собственной инициативе выписки из Единого государственного реестра недвижимости о правах гражданина на имеющиеся у него объекты недвижимости (представляется в отношении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объектов, на которые в соответствии с пунктом 3 настоящего Порядка используется единовременная денежная выплата). В случае неиспользования (неполного использования) единовременной денежной выплаты в соответствии с целев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ым назначением гражданин обязан осущес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твить возврат органу ме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стного самоуправления неиспользованной суммы единовременной денежной выплаты.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н) в </w:t>
      </w:r>
      <w:r>
        <w:rPr>
          <w:sz w:val="28"/>
          <w:szCs w:val="28"/>
          <w:highlight w:val="none"/>
        </w:rPr>
        <w:t xml:space="preserve">пункте 17 слово «министерством» заменить словами «органом местного самоуправления»;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о) пункт 18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18. В случае выявления органом местного самоуправления фактов нарушения гражданином целевого расходования средств единовременной денежной выплаты единовременная денежная выплата подлежит возврату в бюджет </w:t>
      </w:r>
      <w:r>
        <w:rPr>
          <w:sz w:val="28"/>
          <w:szCs w:val="28"/>
          <w:highlight w:val="none"/>
        </w:rPr>
        <w:t xml:space="preserve">муниципального образования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п) в абзаце первом подпункта 1, подпункте 2 пункта 19 слово «министерство» заменить словами «орган местного самоуправления».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Внести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31.07.2023 № 350-п </w:t>
      </w:r>
      <w:r>
        <w:rPr>
          <w:sz w:val="28"/>
          <w:szCs w:val="28"/>
          <w:highlight w:val="none"/>
        </w:rPr>
        <w:t xml:space="preserve">«О Порядке предоставления отдельным категориям граждан единовременной денежной выплаты взамен земельного участка для инд</w:t>
      </w:r>
      <w:r>
        <w:rPr>
          <w:sz w:val="28"/>
          <w:szCs w:val="28"/>
          <w:highlight w:val="none"/>
        </w:rPr>
        <w:t xml:space="preserve">ивидуального жилищного строительства»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преамбулу после слов «</w:t>
      </w:r>
      <w:r>
        <w:rPr>
          <w:sz w:val="28"/>
          <w:szCs w:val="28"/>
          <w:highlight w:val="none"/>
        </w:rPr>
        <w:t xml:space="preserve">Закона Новосибирской области от 05.12.2016 № 112-ОЗ «Об отдельных вопросах регулирования земельных отношений на территории Новосибирской области»» дополнить словами «, Законом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от </w:t>
      </w:r>
      <w:r>
        <w:rPr>
          <w:sz w:val="28"/>
          <w:szCs w:val="28"/>
          <w:highlight w:val="none"/>
        </w:rPr>
        <w:t xml:space="preserve">24.12.2024 </w:t>
      </w:r>
      <w:r>
        <w:rPr>
          <w:sz w:val="28"/>
          <w:szCs w:val="28"/>
          <w:highlight w:val="none"/>
        </w:rPr>
        <w:t xml:space="preserve">№ 540-ОЗ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 наделении органов местного самоуправления муниципальных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образований Новосибирск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ой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отдельным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государственным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полномочиями </w:t>
      </w:r>
      <w:r>
        <w:rPr>
          <w:rFonts w:ascii="Times New Roman" w:hAnsi="Times New Roman" w:eastAsia="Calibri"/>
          <w:b w:val="0"/>
          <w:bCs w:val="0"/>
          <w:sz w:val="28"/>
          <w:szCs w:val="28"/>
        </w:rPr>
        <w:t xml:space="preserve">в сфере социальной поддержки отдельных категорий граждан</w:t>
      </w:r>
      <w:r>
        <w:rPr>
          <w:b w:val="0"/>
          <w:bCs w:val="0"/>
          <w:sz w:val="28"/>
          <w:szCs w:val="28"/>
          <w:highlight w:val="none"/>
        </w:rPr>
        <w:t xml:space="preserve">»»;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2) </w:t>
      </w:r>
      <w:r>
        <w:rPr>
          <w:b w:val="0"/>
          <w:bCs w:val="0"/>
          <w:sz w:val="28"/>
          <w:szCs w:val="28"/>
          <w:highlight w:val="none"/>
        </w:rPr>
        <w:t xml:space="preserve">в пункте 2 слова «Нелюбова С.А.</w:t>
      </w:r>
      <w:r>
        <w:rPr>
          <w:b w:val="0"/>
          <w:bCs w:val="0"/>
          <w:sz w:val="28"/>
          <w:szCs w:val="28"/>
          <w:highlight w:val="none"/>
        </w:rPr>
        <w:t xml:space="preserve">» заменить словами «Хальзова К.В.»;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3) </w:t>
      </w:r>
      <w:r>
        <w:rPr>
          <w:b w:val="0"/>
          <w:bCs w:val="0"/>
          <w:sz w:val="28"/>
          <w:szCs w:val="28"/>
          <w:highlight w:val="none"/>
        </w:rPr>
        <w:t xml:space="preserve">в Порядке </w:t>
      </w:r>
      <w:r>
        <w:rPr>
          <w:sz w:val="28"/>
          <w:szCs w:val="28"/>
          <w:highlight w:val="none"/>
        </w:rPr>
        <w:t xml:space="preserve">предоставления отдельным категориям граждан единовременной денежной выплаты взамен земельного участка для инд</w:t>
      </w:r>
      <w:r>
        <w:rPr>
          <w:sz w:val="28"/>
          <w:szCs w:val="28"/>
          <w:highlight w:val="none"/>
        </w:rPr>
        <w:t xml:space="preserve">ивидуального жилищного строительства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а) </w:t>
      </w:r>
      <w:r>
        <w:rPr>
          <w:b w:val="0"/>
          <w:bCs w:val="0"/>
          <w:sz w:val="28"/>
          <w:szCs w:val="28"/>
          <w:highlight w:val="none"/>
        </w:rPr>
        <w:t xml:space="preserve">п</w:t>
      </w:r>
      <w:r>
        <w:rPr>
          <w:b w:val="0"/>
          <w:bCs w:val="0"/>
          <w:sz w:val="28"/>
          <w:szCs w:val="28"/>
          <w:highlight w:val="none"/>
        </w:rPr>
        <w:t xml:space="preserve">ункт 1 дополнить абзацем вторым следующего содержания: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«Предоставление </w:t>
      </w:r>
      <w:r>
        <w:rPr>
          <w:b w:val="0"/>
          <w:bCs w:val="0"/>
          <w:sz w:val="28"/>
          <w:szCs w:val="28"/>
          <w:highlight w:val="none"/>
        </w:rPr>
        <w:t xml:space="preserve">единовременной денежной выплаты </w:t>
      </w:r>
      <w:r>
        <w:rPr>
          <w:b w:val="0"/>
          <w:bCs w:val="0"/>
          <w:sz w:val="28"/>
          <w:szCs w:val="28"/>
          <w:highlight w:val="none"/>
        </w:rPr>
        <w:t xml:space="preserve">осуществляется органами местног</w:t>
      </w:r>
      <w:r>
        <w:rPr>
          <w:b w:val="0"/>
          <w:bCs w:val="0"/>
          <w:sz w:val="28"/>
          <w:szCs w:val="28"/>
          <w:highlight w:val="none"/>
        </w:rPr>
        <w:t xml:space="preserve">о самоуправления муниципальных образований Новосибирской области</w:t>
      </w:r>
      <w:r>
        <w:rPr>
          <w:b w:val="0"/>
          <w:bCs w:val="0"/>
          <w:sz w:val="28"/>
          <w:szCs w:val="28"/>
          <w:highlight w:val="none"/>
        </w:rPr>
        <w:t xml:space="preserve">, наделенными отдельными государственными полномочиями Новосибирской области по 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предоставлению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 отдельным категориям граждан (указанным в настоящем пункте (далее - граждане)) единовременной денежной выплаты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предусмотренной статьей 6.2 Закона 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№ </w:t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  <w:t xml:space="preserve">112-ОЗ </w:t>
      </w:r>
      <w:r>
        <w:rPr>
          <w:b w:val="0"/>
          <w:bCs w:val="0"/>
          <w:sz w:val="28"/>
          <w:szCs w:val="28"/>
          <w:highlight w:val="none"/>
        </w:rPr>
        <w:t xml:space="preserve">(далее - органы местного самоуправления).</w:t>
      </w:r>
      <w:r>
        <w:rPr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б) в пункте 2 слова «, указанные в пункте 1 настоящего Порядка (далее – граждане),» исключить;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в) подпункт 1 пункта 3 после слов «ведения личного подсобного хозяйства» дополнить словами «в границах населенного пункта (приусадебного земельного участка»;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г) 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5. 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Орган местного самоуправления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по месту постоянного проживания гражданина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исходя из данных,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имеющихся в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сводном реестре граждан, состоящих на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учете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на земельный участок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формирует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список граждан, имеющих право на получение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(далее - список)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исходя из даты постановки гражданина на учет на земельный участо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если гражданин состоит на учете на земельный участок в нескольких органах местного самоуправления либо на учете на земельный участок в министерстве труда и социального развития Новосибирской области - по более ранней дате поста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новки на учет на земельный участок)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отношении граждан, постоянно проживающих в пределах городского округа Новосибирской области,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а также граждан, указанных в подпунктах «б» - «г» пункта 3 части 1 статьи 5 Закона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№ 112-ОЗ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зарегистрированных по месту жительства или месту пребывания в городском округе Новосибирской области,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список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формируется органом местного самоуправления муниципального округа, муниципального района Новосибирской области, прилегающего к соответствующему городскому округу Новосибирской области, в котором они встали на учет на земельный учет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Список формируется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государственной информационной системе Новосибирской области «Межведомственная автоматизированная информац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ионная система»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(далее - информационная система)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, порядок ведения которого установлен постановлением Правител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ства Новосибирской области от 20.07.2015 № 271-п «Об установлении Порядка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ласти или муниципальной собственности, а также земельного участка, государственная собственность на который не разграничена, в собственность бесплатно»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Первоначальный список формируется из числа граждан, состоящих на учете на земельный участок,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до 1 февраля 2025 года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далее - ежемесячно по состоянию на 1 число каждого месяца.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д)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дополнить пунктами 5.1, 5.2 следующего содержания: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«5.1. Органом местного самоуправления в течение 10 рабочих дней со дня формирования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списка осуществляется рассылка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гражданам, включенным в список,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уведомлений о возможности получения единовременной денежной выплаты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министерства труда и социального разви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тия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от 0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8.11.2023 № 1960-НПА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«Об 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(далее - приказ № 1960-НПА)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Рассылка уведомлений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о возможности получения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осуществляется в порядке очередности исходя из даты постановки гражданина на учет на земельный участок.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5.2. Уведомление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о возможности получения единовременной денежной выплаты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 содержит: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1) информацию о размере единовременной денежной выплаты, определенном в соответствии с частью 2 статьи 6.2 Закона № 112-ОЗ;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2) информацию о целях, на которые может быть использована единовременная денежная выплата;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3) перечень документов, которые необходимо представить для получения единовременной денежной выплаты.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cy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е) в пункте 8: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первый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8. Гражданин, включенный в список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которому направлено уведомление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(далее - заявитель), или его представитель имеет право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обратиться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за предоставлением единовременной денежной выплаты в орган местного самоуправления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месту жительства либ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в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редставив заявление о предоставлении единовременной денежной выплаты (далее - заявление), содержащее согласие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на обработку персональных данных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по форме,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утв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№ 1960-НПА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с приложением следующих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документов: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подпункте 6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слова «по форме, утверждаемой министерством» заменить словами «по форме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№ 1960-НПА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подпункты 9, 10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«9)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опия справки о подтверждении факта участия в специальной военной операции, выданной федеральным органом исполнительной власти (федеральным государственным органом) участнику специальной военной операции или члену семьи участника специальной военной операци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в соответствии с постановлением Правительства Российской Федерации от 09.10.2024 №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дной Республики, Запорожской области и Херсонской области» (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представляется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 собственной инициативе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гражданином, указанным в подпунктах «б» - «д» пункта 3 части 1 статьи 5 Закона № 112-ОЗ)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копия документа (извещения или справки), подтверждающего гибель, смерть вследствие увечья (контузии, травмы, ранения), полученных в ходе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участия в 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 по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обеспечению безопасности Российской Федерации на участках, примыкающих к районам проведения специальной военной операции, а также в ходе участия в боевых действиях на территориях субъектов Российской Федерации, на которых Указом № 757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введен средний уровень реагирования) участника специальной военной операции,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 либо военным комиссариатом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либо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копию решения суда об объявлении гражданина умершим или о признании гражданина безвестно отсутствующим,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об установлении факта гибели, смерти вследствие увечья (контузии, травмы, ранения)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(представляется гражданином, указанным в подпункте «д» пункта 3 части 1 статьи 5 Закона № 112-ОЗ)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ж) в абзаце первом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пункта 9 слова «центр социальной поддержки населения» заменить словами «орган местного самоуправления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слово «его» исключить;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з)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10. Если документы, представляемые заявителем по собственной инициативе, не представлены заявителем (представителем), информация (сведения) о них запрашивается органом местного самоуправления посредством межведомственного информационного взаимодейств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ия.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/>
          <w:spacing w:val="-2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и) в абзаце первом пункта 11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слова «о предоставлении единовременной денежной выплаты» исключить;</w:t>
      </w:r>
      <w:r>
        <w:rPr>
          <w:rFonts w:ascii="Times New Roman" w:hAnsi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/>
          <w:spacing w:val="-2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к) в абзацах первом, втором пункта 12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центр социальной поддержки населения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 заменить словами «орган местного самоуправления»;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л) в пункте 13: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абзаце первом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центра социальной поддержки населения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 заменить словами «органа местного самоуправления»;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подпункт 4 признать утратившим силу;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«5)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принимает у заявителя (представителя) отчет о целевом использовании единовременной денежной выплаты по форме, утвержденной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приказом         № 1960-НПА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и документы, подтверждающие произведенные расходы.»;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м) в пункте 14: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первый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«14. Орган местного самоуправления:»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абзаце пятом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слово «министерство» заменить словами «орган местного самоуправления»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абзац восьмой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Финансирование расходов на предоставление единовременной денежной выплаты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св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одной бюджетной росписью областного бюджета Новосибирской области в пределах бюджетных ассигнований и лимитов бюджетных обязательств, предусмотренных на осуществление отдельн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пункте 17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слово «Министерство» заменить словами «Орган местного самоуправления»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о) пункт 17.1 признать утратившим силу;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пункт 18 изложить в следующей редакции: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«18.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ечение одного года со дня перечисления единовременной денежной выплаты заявитель обязан представить в орган местного самоуправления по месту жительства отчет о целевом использовании единовременной денежной выплаты по форме, утвержденной приказом № 1960-НПА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и документы, подтверждающие произведенные расходы. Гражданин вправе представить по собственной инициативе выписки из Единого государственного реестра недвижимости о правах гражданина на имеющиеся у него объекты недвижимости (представляется в отношении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объектов, на которые в соответствии с пунктом 3 настоящего Порядка используется единовременная денежная выплата). В случае неиспользования (неполного использования) единовременной денежной выплаты в соответствии с целев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ым назначением гражданин обязан осущес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твить возврат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неиспользованной суммы единовременной денежной выплаты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органу ме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стного самоуправления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р) пункт 19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19. В случае выявления органом местного самоуправления фактов нарушения гражданином целевого расходования средств единовременной денежной выплаты единовременная денежная выплата подлежит возврату в бюджет </w:t>
      </w:r>
      <w:r>
        <w:rPr>
          <w:sz w:val="28"/>
          <w:szCs w:val="28"/>
          <w:highlight w:val="none"/>
        </w:rPr>
        <w:t xml:space="preserve">муниципального образования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с) в абзаце первом подпункта 1, подпункте 2 пункта 20 слово «министерство» заменить словами «орган местного самоуправления».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Настоящее постановление распространяется на правоотношения, возникшие с </w:t>
      </w:r>
      <w:r>
        <w:rPr>
          <w:sz w:val="28"/>
          <w:szCs w:val="28"/>
          <w:highlight w:val="none"/>
        </w:rPr>
        <w:t xml:space="preserve">01.01.2025.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</w:t>
      </w:r>
      <w:r>
        <w:rPr>
          <w:rFonts w:eastAsia="Calibri"/>
          <w:sz w:val="28"/>
          <w:szCs w:val="28"/>
        </w:rPr>
        <w:t xml:space="preserve">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</w:pPr>
      <w:r>
        <w:t xml:space="preserve">Е.В. </w:t>
      </w:r>
      <w:r>
        <w:t xml:space="preserve">Бахарева</w:t>
      </w:r>
      <w:r/>
    </w:p>
    <w:p>
      <w:pPr>
        <w:ind w:right="-1"/>
        <w:rPr>
          <w:highlight w:val="none"/>
        </w:rPr>
      </w:pPr>
      <w:r>
        <w:t xml:space="preserve">238 75 10</w:t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t xml:space="preserve">1</w:t>
      </w:r>
    </w:fldSimple>
    <w:r/>
    <w:r/>
  </w:p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63"/>
    <w:uiPriority w:val="99"/>
    <w:rPr>
      <w:sz w:val="18"/>
    </w:rPr>
  </w:style>
  <w:style w:type="character" w:styleId="697">
    <w:name w:val="Endnote Text Char"/>
    <w:link w:val="866"/>
    <w:uiPriority w:val="99"/>
    <w:rPr>
      <w:sz w:val="20"/>
    </w:rPr>
  </w:style>
  <w:style w:type="paragraph" w:styleId="698" w:default="1">
    <w:name w:val="Normal"/>
    <w:qFormat/>
    <w:rPr>
      <w:rFonts w:ascii="Times New Roman" w:hAnsi="Times New Roman" w:eastAsia="Times New Roman"/>
      <w:lang w:eastAsia="ru-RU"/>
    </w:rPr>
  </w:style>
  <w:style w:type="paragraph" w:styleId="699">
    <w:name w:val="Heading 1"/>
    <w:basedOn w:val="698"/>
    <w:next w:val="698"/>
    <w:link w:val="880"/>
    <w:qFormat/>
    <w:pPr>
      <w:jc w:val="right"/>
      <w:keepNext/>
      <w:outlineLvl w:val="0"/>
    </w:pPr>
    <w:rPr>
      <w:sz w:val="28"/>
      <w:lang w:val="en-US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698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1" w:customStyle="1">
    <w:name w:val="Header Char"/>
    <w:uiPriority w:val="99"/>
  </w:style>
  <w:style w:type="paragraph" w:styleId="732">
    <w:name w:val="Footer"/>
    <w:basedOn w:val="698"/>
    <w:link w:val="88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3" w:customStyle="1">
    <w:name w:val="Footer Char"/>
    <w:uiPriority w:val="99"/>
  </w:style>
  <w:style w:type="paragraph" w:styleId="734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>
    <w:name w:val="Table Grid"/>
    <w:basedOn w:val="709"/>
    <w:uiPriority w:val="59"/>
    <w:pPr>
      <w:jc w:val="both"/>
    </w:pPr>
    <w:tblPr/>
  </w:style>
  <w:style w:type="table" w:styleId="73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spacing w:after="57"/>
    </w:pPr>
  </w:style>
  <w:style w:type="paragraph" w:styleId="870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71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2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3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4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5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6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7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98"/>
    <w:next w:val="698"/>
    <w:uiPriority w:val="99"/>
    <w:unhideWhenUsed/>
  </w:style>
  <w:style w:type="character" w:styleId="880" w:customStyle="1">
    <w:name w:val="Заголовок 1 Знак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>
    <w:name w:val="Balloon Text"/>
    <w:basedOn w:val="698"/>
    <w:link w:val="88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2" w:customStyle="1">
    <w:name w:val="Текст выноски Знак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3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character" w:styleId="884" w:customStyle="1">
    <w:name w:val="Верхний колонтитул Знак"/>
    <w:link w:val="73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5" w:customStyle="1">
    <w:name w:val="Нижний колонтитул Знак"/>
    <w:link w:val="7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87" w:customStyle="1">
    <w:name w:val="ConsPlusNormal"/>
    <w:rPr>
      <w:rFonts w:cs="Calibri"/>
      <w:b/>
      <w:bCs/>
      <w:sz w:val="22"/>
      <w:szCs w:val="22"/>
      <w:lang w:eastAsia="ru-RU"/>
    </w:rPr>
  </w:style>
  <w:style w:type="character" w:styleId="888">
    <w:name w:val="annotation reference"/>
    <w:uiPriority w:val="99"/>
    <w:semiHidden/>
    <w:unhideWhenUsed/>
    <w:rPr>
      <w:sz w:val="16"/>
      <w:szCs w:val="16"/>
    </w:rPr>
  </w:style>
  <w:style w:type="paragraph" w:styleId="889">
    <w:name w:val="annotation text"/>
    <w:basedOn w:val="698"/>
    <w:link w:val="890"/>
    <w:uiPriority w:val="99"/>
    <w:semiHidden/>
    <w:unhideWhenUsed/>
  </w:style>
  <w:style w:type="character" w:styleId="890" w:customStyle="1">
    <w:name w:val="Текст примечания Знак"/>
    <w:link w:val="889"/>
    <w:uiPriority w:val="99"/>
    <w:semiHidden/>
    <w:rPr>
      <w:rFonts w:ascii="Times New Roman" w:hAnsi="Times New Roman" w:eastAsia="Times New Roman"/>
    </w:rPr>
  </w:style>
  <w:style w:type="character" w:styleId="89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11</cp:revision>
  <dcterms:created xsi:type="dcterms:W3CDTF">2024-05-17T08:30:00Z</dcterms:created>
  <dcterms:modified xsi:type="dcterms:W3CDTF">2024-12-26T07:21:31Z</dcterms:modified>
  <cp:version>917504</cp:version>
</cp:coreProperties>
</file>