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contextualSpacing/>
        <w:ind w:firstLine="779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ind w:firstLine="666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contextualSpacing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в постановление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center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31.01</w:t>
      </w:r>
      <w:r>
        <w:rPr>
          <w:rFonts w:ascii="Times New Roman" w:hAnsi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/>
          <w:sz w:val="28"/>
          <w:szCs w:val="28"/>
          <w:lang w:eastAsia="ru-RU"/>
        </w:rPr>
        <w:t xml:space="preserve">24 № </w:t>
      </w:r>
      <w:r>
        <w:rPr>
          <w:rFonts w:ascii="Times New Roman" w:hAnsi="Times New Roman"/>
          <w:sz w:val="28"/>
          <w:szCs w:val="28"/>
          <w:lang w:eastAsia="ru-RU"/>
        </w:rPr>
        <w:t xml:space="preserve">30-п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52"/>
        <w:contextualSpacing/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852"/>
        <w:contextualSpacing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 о с т а н о в л я е т: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2"/>
        <w:contextualSpacing/>
        <w:ind w:firstLine="708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/>
          <w:sz w:val="28"/>
          <w:szCs w:val="28"/>
          <w:lang w:eastAsia="ru-RU"/>
        </w:rPr>
        <w:fldChar w:fldCharType="begin"/>
      </w:r>
      <w:r>
        <w:rPr>
          <w:rFonts w:ascii="Times New Roman" w:hAnsi="Times New Roman"/>
          <w:sz w:val="28"/>
          <w:szCs w:val="28"/>
          <w:lang w:eastAsia="ru-RU"/>
        </w:rPr>
        <w:instrText xml:space="preserve">HYPERLINK consultantplus://offline/ref=3563429628022DCE612ECDC179EE96E27E296DAF5E3F9730AD282A1DEC637284C8D40453BE7FDD39C7B75787C160F87DB3E3FCF </w:instrText>
      </w:r>
      <w:r>
        <w:rPr>
          <w:rFonts w:ascii="Times New Roman" w:hAnsi="Times New Roman"/>
          <w:sz w:val="28"/>
          <w:szCs w:val="28"/>
          <w:lang w:eastAsia="ru-RU"/>
        </w:rPr>
        <w:fldChar w:fldCharType="separate"/>
      </w:r>
      <w:r>
        <w:rPr>
          <w:rStyle w:val="865"/>
          <w:rFonts w:ascii="Times New Roman" w:hAnsi="Times New Roman"/>
          <w:color w:val="000000"/>
          <w:sz w:val="28"/>
          <w:szCs w:val="28"/>
          <w:u w:val="none"/>
          <w:lang w:eastAsia="ru-RU"/>
        </w:rPr>
        <w:t xml:space="preserve">постановление</w:t>
      </w:r>
      <w:r>
        <w:rPr>
          <w:rFonts w:ascii="Times New Roman" w:hAnsi="Times New Roman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 31.01.2024 № 30-п </w:t>
      </w:r>
      <w:r>
        <w:rPr>
          <w:rFonts w:ascii="Times New Roman" w:hAnsi="Times New Roman"/>
          <w:sz w:val="28"/>
          <w:szCs w:val="28"/>
          <w:lang w:eastAsia="ru-RU"/>
        </w:rPr>
        <w:t xml:space="preserve">«О Порядке предоставления единовременной денежной выплаты на обеспечение условий доступности жилого помещения»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</w:t>
      </w:r>
      <w:r>
        <w:rPr>
          <w:rFonts w:ascii="Times New Roman" w:hAnsi="Times New Roman"/>
          <w:sz w:val="28"/>
          <w:szCs w:val="28"/>
          <w:lang w:eastAsia="ru-RU"/>
        </w:rPr>
        <w:t xml:space="preserve">ие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я: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пункте 2 слова «Нелюбова С.А.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заменить словами «Хальзова К.В.».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Порядке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предоставления единовременной денежной выплаты на обеспечение условий доступности жилого помещения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 пункты 1, 2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астоящий Порядок предоставления единовременной денежной выплаты на обеспечение условий доступности жилого помещения определяет процедуру предоставления гражданам Российской Федерации, проживающим на территории Новосибирской области, ставшим инвалидами боев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ых действий (I либо II группы)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</w:t>
      </w:r>
      <w:r>
        <w:rPr>
          <w:rFonts w:ascii="Times New Roman" w:hAnsi="Times New Roman"/>
          <w:bCs/>
          <w:sz w:val="28"/>
          <w:szCs w:val="28"/>
        </w:rPr>
        <w:t xml:space="preserve">, боевых действиях на территориях субъектов Российской Федерации, на которых Указом Президента Российской Федер</w:t>
      </w:r>
      <w:r>
        <w:rPr>
          <w:rFonts w:ascii="Times New Roman" w:hAnsi="Times New Roman"/>
          <w:bCs/>
          <w:sz w:val="28"/>
          <w:szCs w:val="28"/>
        </w:rPr>
        <w:t xml:space="preserve">ации от 19 октября 2022 года № 757 «О мерах, осуществляемых в субъектах Российской Федерации в связи с Указом Президента Российской Федерации от 19 октября 2022 г. № 756» введен средний уровень реагирования, а также при непосредственном выполнении задач по</w:t>
      </w:r>
      <w:r>
        <w:rPr>
          <w:rFonts w:ascii="Times New Roman" w:hAnsi="Times New Roman"/>
          <w:bCs/>
          <w:sz w:val="28"/>
          <w:szCs w:val="28"/>
        </w:rPr>
        <w:t xml:space="preserve">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 по обеспечению безопасности Российской Федерации на участках, примыкающих к районам проведения сп</w:t>
      </w:r>
      <w:r>
        <w:rPr>
          <w:rFonts w:ascii="Times New Roman" w:hAnsi="Times New Roman"/>
          <w:bCs/>
          <w:sz w:val="28"/>
          <w:szCs w:val="28"/>
        </w:rPr>
        <w:t xml:space="preserve">ециальной военной операции, </w:t>
      </w:r>
      <w:r>
        <w:rPr>
          <w:rFonts w:ascii="Times New Roman" w:hAnsi="Times New Roman" w:eastAsia="Times New Roman"/>
          <w:sz w:val="28"/>
          <w:szCs w:val="28"/>
        </w:rPr>
        <w:t xml:space="preserve">нуждающимся в постоянном постороннем уходе либо</w:t>
      </w:r>
      <w:r>
        <w:rPr>
          <w:rFonts w:ascii="Times New Roman" w:hAnsi="Times New Roman"/>
          <w:bCs/>
          <w:sz w:val="28"/>
          <w:szCs w:val="28"/>
        </w:rPr>
        <w:t xml:space="preserve"> использующим в качестве средства передвижения кресло-коляску, либо использующим в качестве средства ориентации белую трость или собаку-проводника, либо использующим в качестве сред</w:t>
      </w:r>
      <w:r>
        <w:rPr>
          <w:rFonts w:ascii="Times New Roman" w:hAnsi="Times New Roman"/>
          <w:bCs/>
          <w:sz w:val="28"/>
          <w:szCs w:val="28"/>
        </w:rPr>
        <w:t xml:space="preserve">ства общения и ориентации сверхмощный слуховой аппарат, меры социальной поддержки в виде единовременной денежной выплаты на обеспечение условий доступности жилого помещения (далее - единовременная денежная выплата).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2. 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Единовременная денежная выплата предоставляется гражданину, из числа указанных в пункте 1 настоящего Порядка (далее - гражданин), при совокупности следующих обстоятельств: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 наличие на момент обращения за единовременной денежной выплатой следующих нарушений функций организма человека, установленных по результатам проведения медико-социальной экспертизы, определяющих необходимость в оборудовани</w:t>
      </w:r>
      <w:r>
        <w:rPr>
          <w:rFonts w:ascii="Times New Roman" w:hAnsi="Times New Roman" w:eastAsia="Times New Roman"/>
          <w:sz w:val="28"/>
          <w:szCs w:val="28"/>
        </w:rPr>
        <w:t xml:space="preserve">и жилого помещения, в котором проживает заявитель, специальными средствами и приспособлениями: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 у заявителя, использующего в качестве средства передвижения кресло-коляску, </w:t>
      </w:r>
      <w:r>
        <w:rPr>
          <w:rFonts w:ascii="Times New Roman" w:hAnsi="Times New Roman" w:eastAsia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sz w:val="28"/>
          <w:szCs w:val="28"/>
        </w:rPr>
        <w:t xml:space="preserve"> стойких выраженных или значительно выраженных нарушений нейромышечных, скелетных</w:t>
      </w:r>
      <w:r>
        <w:rPr>
          <w:rFonts w:ascii="Times New Roman" w:hAnsi="Times New Roman" w:eastAsia="Times New Roman"/>
          <w:sz w:val="28"/>
          <w:szCs w:val="28"/>
        </w:rPr>
        <w:t xml:space="preserve"> и связанных с движением (статодинамических) функций, приводящих к ограничению способности к передвижению 2 или 3 степени;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 у заявителя, нуждающегося в постоянном постороннем уходе, </w:t>
      </w:r>
      <w:r>
        <w:rPr>
          <w:rFonts w:ascii="Times New Roman" w:hAnsi="Times New Roman" w:eastAsia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sz w:val="28"/>
          <w:szCs w:val="28"/>
        </w:rPr>
        <w:t xml:space="preserve"> стойких выраженных или значительно выраженных нарушений нейромышечных,</w:t>
      </w:r>
      <w:r>
        <w:rPr>
          <w:rFonts w:ascii="Times New Roman" w:hAnsi="Times New Roman" w:eastAsia="Times New Roman"/>
          <w:sz w:val="28"/>
          <w:szCs w:val="28"/>
        </w:rPr>
        <w:t xml:space="preserve"> скелетных и связанных с движением (статодинамических) функций, приводящих к ограничению способности к передвижению 3 степени, и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ограничени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ю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 способности к самообслуживанию 3 степени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в) у заявителя, использующего в качестве средства ориентации белую трость или собаку-проводника,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стойких нарушений сенсорных функций (зрения), приводящих к ограничению способности к ориентации 1, 2 или 3 степени;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shd w:val="clear" w:color="ffffff" w:fill="ffff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г) у заявителя, использующего в качестве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средства общения и ориентации сверхмощный слуховой аппарат,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стойких нарушений сенсорных функций (слуха), приводящих к ограничению способности к общению 1 или 2 степени и ограничению способности к ориентации 1 или 2 степени;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2)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жилое помещение и (или) общее имущество в многоквартирном доме, жилой дом (часть жилого дома), в котором проживает гражданин, не приспособлены с учетом потребностей инвалида и обеспечения условий их доступности для инвалида;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3) 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у гражданина (его (ее) супруги (супруга), несовершеннолетних детей) отсутствует на территории Новосибирской области в собственности иное 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жилое помещение в многоквартирном доме, жилой дом (часть жилого дома) (далее - жилое помещение)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, приспособленное с учетом потребностей инвалида и обеспечения условий их доступности для инвалида </w:t>
      </w:r>
      <w:r>
        <w:rPr>
          <w:rFonts w:ascii="Times New Roman" w:hAnsi="Times New Roman" w:eastAsia="Times New Roman"/>
          <w:sz w:val="28"/>
          <w:szCs w:val="28"/>
        </w:rPr>
        <w:t xml:space="preserve">(за исключением жилого помещения, в связи с приобретением которого заявитель обратился за возмещением расходов в соответствии с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пунктом 2 части 2 статьи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2 </w:t>
      </w:r>
      <w:r>
        <w:rPr>
          <w:rFonts w:ascii="Times New Roman" w:hAnsi="Times New Roman" w:eastAsia="Times New Roman"/>
          <w:sz w:val="28"/>
          <w:szCs w:val="28"/>
        </w:rPr>
        <w:t xml:space="preserve">Закона Новосибирской области от 19.12.2023 № 403-ОЗ «О единовременной денежной выплате на обеспечение условий доступности для инвалида жилого помещения» (далее - Закон № 403-ОЗ)</w:t>
      </w:r>
      <w:r>
        <w:rPr>
          <w:rFonts w:ascii="Times New Roman" w:hAnsi="Times New Roman" w:eastAsia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2) в пункте 4 слова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Закона Новосибирской области от 19.12.2023 № 403-ОЗ «О единовременной денежной выплате на обеспечение условий доступности для инвалида жилого помещения» (далее - Закон № 403-ОЗ)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 заменить словами «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Закона № 403-ОЗ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3) в пункте 6: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left="0" w:right="0" w:firstLine="709"/>
        <w:jc w:val="both"/>
        <w:spacing w:before="0"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подпункт 3 изложить в следующей редакции:</w:t>
      </w:r>
      <w:r/>
    </w:p>
    <w:p>
      <w:pPr>
        <w:contextualSpacing/>
        <w:ind w:left="0" w:right="0" w:firstLine="709"/>
        <w:jc w:val="both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«3)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опию справки о подтверждении факта участия в специальной военной операции, выданной федеральным органом исполнительной власти (федеральным государственным органом) участнику специальной военной операции или члену семьи участника специальной военной операци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в соответствии с постановлением Правительства Российской Федерации от 09.10.2024 № 1354 «О 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дной Республики, Запорожской области и Херсонской области» (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которую заявитель вправе представить по собственной инициативе);»;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подпункте 5 слова «или абилитации» заменить словами «и абилитации»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подпункты 6, 12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г)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подпункт 13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мероприятий по приспособлению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или мероприятий по приобретению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», после слов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в котором проживает гражданин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 дополнить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 или возмещения расходов, связанных с приобретенением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дополнить подпунктом 14.1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4.1) документы, подтверждающие стоимость мероприятий, связанных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приобретением соответствующего требованиям, установленным Правилами,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, включая оплату услуг по подбору жилого помещения и сопровождению сделки по приобретению жилого помещения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(представляются при обращении за единовременной денежной выплатой в целя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х возмещения расходов, связанных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приобретением жилого помещения);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подпунете 15 слово «инвалид» заменить словами «гражданин, или расходов, связанных с приобретением жилого помещения»;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4) в пункте 10: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абзаце первом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подпункта 4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«в котором проживает гражданин,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указанное обследование не проводится» заменить словами 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котором проживает гражданин,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или возмещения расходов, связанных с приобретением жилого помещения,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указанное обследование не проводится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б) дополнить подпунктом 5.1 следующего содержания: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«5.1)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при обращении за единовременной денежной выплатой в целях возмещения расходов, связанных с приобретением жилого помещения, в течение десяти рабочих дней со дня регистрации представленных заявителем документов осуществляет об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следование жилого помещения в части оценки приобретенного гражданином жилого помещения на соответствие требованиям, установленным разделом 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Правил. По результатам обследования жилого помещения органом местного самоуправления составляется акт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обследования по форме, утверждаемой приказом министерства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5) пункт 16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«Гражданин не вправе расходовать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единовременную денежную выплату на приобретение жилого помещения, в отношении которого не проведено обследование.»;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 абзац первый пункта 17 дополнить предложением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«Гражданин при приобретении жилого помещения с использованием средств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единовременной денежной выплаты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вправе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использовать имеющиеся денежные средства, в том числе заемные.»;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7)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1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Обязательство о целевом использовании единовременной денежной выплаты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обеспечение условий доступности жилого помещения»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изложить в редакции согласно приложению № 1 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8)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 2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Отчет о целевом использовании единовременной денежной выплаты на обеспечение условий доступности жилых помещений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изложить в редакции согласно приложению № 2 к настоящему постановлению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2"/>
        <w:contextualSpacing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" w:hanging="10"/>
        <w:spacing w:after="3" w:line="26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right="-1"/>
        <w:spacing w:after="0" w:afterAutospacing="0" w:line="283" w:lineRule="atLeast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Е.В. Бахарева</w:t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contextualSpacing/>
        <w:ind w:right="-1"/>
        <w:spacing w:after="0" w:afterAutospacing="0" w:line="283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238 75 10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53">
    <w:name w:val="Основной шрифт абзаца"/>
    <w:next w:val="853"/>
    <w:link w:val="852"/>
    <w:uiPriority w:val="1"/>
    <w:unhideWhenUsed/>
  </w:style>
  <w:style w:type="table" w:styleId="854">
    <w:name w:val="Обычная таблица"/>
    <w:next w:val="854"/>
    <w:link w:val="852"/>
    <w:uiPriority w:val="99"/>
    <w:semiHidden/>
    <w:unhideWhenUsed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ConsPlusNormal"/>
    <w:next w:val="856"/>
    <w:link w:val="85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57">
    <w:name w:val="ConsPlusCell"/>
    <w:next w:val="857"/>
    <w:link w:val="85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58">
    <w:name w:val="Основной текст"/>
    <w:basedOn w:val="852"/>
    <w:next w:val="858"/>
    <w:link w:val="859"/>
    <w:unhideWhenUsed/>
    <w:pPr>
      <w:spacing w:after="120"/>
    </w:pPr>
    <w:rPr>
      <w:rFonts w:eastAsia="Times New Roman"/>
    </w:rPr>
  </w:style>
  <w:style w:type="character" w:styleId="859">
    <w:name w:val="Основной текст Знак"/>
    <w:next w:val="859"/>
    <w:link w:val="858"/>
    <w:rPr>
      <w:rFonts w:ascii="Calibri" w:hAnsi="Calibri" w:eastAsia="Times New Roman" w:cs="Times New Roman"/>
    </w:rPr>
  </w:style>
  <w:style w:type="paragraph" w:styleId="860">
    <w:name w:val="Верхний колонтитул,ВерхКолонтитул"/>
    <w:basedOn w:val="852"/>
    <w:next w:val="860"/>
    <w:link w:val="86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61">
    <w:name w:val="Верхний колонтитул Знак,ВерхКолонтитул Знак"/>
    <w:next w:val="861"/>
    <w:link w:val="86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62">
    <w:name w:val="Сетка таблицы"/>
    <w:basedOn w:val="854"/>
    <w:next w:val="862"/>
    <w:link w:val="852"/>
    <w:uiPriority w:val="59"/>
    <w:tblPr/>
  </w:style>
  <w:style w:type="paragraph" w:styleId="863">
    <w:name w:val="Текст выноски"/>
    <w:basedOn w:val="852"/>
    <w:next w:val="863"/>
    <w:link w:val="8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4">
    <w:name w:val="Текст выноски Знак"/>
    <w:next w:val="864"/>
    <w:link w:val="86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65">
    <w:name w:val="Гиперссылка"/>
    <w:next w:val="865"/>
    <w:link w:val="852"/>
    <w:uiPriority w:val="99"/>
    <w:unhideWhenUsed/>
    <w:rPr>
      <w:color w:val="0563c1"/>
      <w:u w:val="single"/>
    </w:rPr>
  </w:style>
  <w:style w:type="paragraph" w:styleId="866">
    <w:name w:val="Нижний колонтитул"/>
    <w:basedOn w:val="852"/>
    <w:next w:val="866"/>
    <w:link w:val="86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7">
    <w:name w:val="Нижний колонтитул Знак"/>
    <w:next w:val="867"/>
    <w:link w:val="866"/>
    <w:uiPriority w:val="99"/>
    <w:rPr>
      <w:sz w:val="22"/>
      <w:szCs w:val="22"/>
      <w:lang w:eastAsia="en-US"/>
    </w:rPr>
  </w:style>
  <w:style w:type="character" w:styleId="868">
    <w:name w:val="Знак примечания"/>
    <w:next w:val="868"/>
    <w:link w:val="852"/>
    <w:uiPriority w:val="99"/>
    <w:semiHidden/>
    <w:unhideWhenUsed/>
    <w:rPr>
      <w:sz w:val="16"/>
      <w:szCs w:val="16"/>
    </w:rPr>
  </w:style>
  <w:style w:type="paragraph" w:styleId="869">
    <w:name w:val="Текст примечания"/>
    <w:basedOn w:val="852"/>
    <w:next w:val="869"/>
    <w:link w:val="870"/>
    <w:uiPriority w:val="99"/>
    <w:semiHidden/>
    <w:unhideWhenUsed/>
    <w:rPr>
      <w:sz w:val="20"/>
      <w:szCs w:val="20"/>
    </w:rPr>
  </w:style>
  <w:style w:type="character" w:styleId="870">
    <w:name w:val="Текст примечания Знак"/>
    <w:next w:val="870"/>
    <w:link w:val="869"/>
    <w:uiPriority w:val="99"/>
    <w:semiHidden/>
    <w:rPr>
      <w:lang w:eastAsia="en-US"/>
    </w:rPr>
  </w:style>
  <w:style w:type="paragraph" w:styleId="871">
    <w:name w:val="Тема примечания"/>
    <w:basedOn w:val="869"/>
    <w:next w:val="869"/>
    <w:link w:val="872"/>
    <w:uiPriority w:val="99"/>
    <w:semiHidden/>
    <w:unhideWhenUsed/>
    <w:rPr>
      <w:b/>
      <w:bCs/>
    </w:rPr>
  </w:style>
  <w:style w:type="character" w:styleId="872">
    <w:name w:val="Тема примечания Знак"/>
    <w:next w:val="872"/>
    <w:link w:val="871"/>
    <w:uiPriority w:val="99"/>
    <w:semiHidden/>
    <w:rPr>
      <w:b/>
      <w:bCs/>
      <w:lang w:eastAsia="en-US"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24</cp:revision>
  <dcterms:created xsi:type="dcterms:W3CDTF">2024-07-17T05:29:00Z</dcterms:created>
  <dcterms:modified xsi:type="dcterms:W3CDTF">2025-04-16T05:06:51Z</dcterms:modified>
  <cp:version>983040</cp:version>
</cp:coreProperties>
</file>