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highlight w:val="white"/>
        </w:rPr>
      </w:pPr>
      <w:r>
        <w:rPr>
          <w:rStyle w:val="886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  <w:r>
        <w:rPr>
          <w:highlight w:val="white"/>
        </w:rPr>
      </w:r>
    </w:p>
    <w:p>
      <w:pPr>
        <w:ind w:firstLine="5954"/>
        <w:jc w:val="center"/>
        <w:rPr>
          <w:highlight w:val="white"/>
        </w:rPr>
      </w:pPr>
      <w:r>
        <w:rPr>
          <w:rStyle w:val="886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highlight w:val="white"/>
        </w:rPr>
      </w:r>
      <w:r>
        <w:rPr>
          <w:highlight w:val="white"/>
        </w:rPr>
      </w:r>
    </w:p>
    <w:p>
      <w:pPr>
        <w:ind w:firstLine="5954"/>
        <w:jc w:val="center"/>
        <w:rPr>
          <w:highlight w:val="white"/>
        </w:rPr>
      </w:pPr>
      <w:r>
        <w:rPr>
          <w:rStyle w:val="886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1" w:line="200" w:lineRule="atLeast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</w:t>
      </w:r>
      <w:r>
        <w:rPr>
          <w:rFonts w:eastAsia="Calibri"/>
          <w:sz w:val="28"/>
          <w:szCs w:val="28"/>
          <w:highlight w:val="white"/>
        </w:rPr>
        <w:t xml:space="preserve">30.09.2013 № 422-п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пунктом 6 статьи </w:t>
      </w:r>
      <w:r>
        <w:rPr>
          <w:rFonts w:eastAsia="Calibri"/>
          <w:sz w:val="28"/>
          <w:szCs w:val="28"/>
          <w:highlight w:val="white"/>
        </w:rPr>
        <w:t xml:space="preserve">33 Федерального закона от 21.12.2021 № 414-ФЗ «Об общих принципах организации публичной власти в субъектах Российской Федерации»</w:t>
      </w:r>
      <w:r>
        <w:rPr>
          <w:sz w:val="28"/>
          <w:szCs w:val="28"/>
          <w:highlight w:val="white"/>
        </w:rPr>
        <w:t xml:space="preserve"> Правительство Новосибирск</w:t>
      </w:r>
      <w:r>
        <w:rPr>
          <w:sz w:val="28"/>
          <w:szCs w:val="28"/>
          <w:highlight w:val="white"/>
        </w:rPr>
        <w:t xml:space="preserve">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 </w:t>
      </w:r>
      <w:r>
        <w:rPr>
          <w:rFonts w:eastAsia="Calibri"/>
          <w:sz w:val="28"/>
          <w:szCs w:val="28"/>
          <w:highlight w:val="white"/>
        </w:rPr>
        <w:t xml:space="preserve">30.09.2013 № 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</w:t>
      </w:r>
      <w:r>
        <w:rPr>
          <w:rFonts w:eastAsia="Calibri"/>
          <w:sz w:val="28"/>
          <w:szCs w:val="28"/>
          <w:highlight w:val="white"/>
        </w:rPr>
        <w:t xml:space="preserve">грамму дошкольного образования»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Подпункт 2 пункта 2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2) в размере 100 процентов родительской платы за присмотр и уход за детьми, родители (законные представители) которых погибли (пропали без вести, </w:t>
      </w:r>
      <w:r>
        <w:rPr>
          <w:rFonts w:eastAsia="Calibri"/>
          <w:sz w:val="28"/>
          <w:szCs w:val="28"/>
          <w:highlight w:val="white"/>
        </w:rPr>
        <w:t xml:space="preserve">признаны безвестно отсутствующими или объявлены умершими) в результате участия 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 </w:t>
      </w:r>
      <w:r>
        <w:rPr>
          <w:rFonts w:eastAsia="Calibri"/>
          <w:sz w:val="28"/>
          <w:szCs w:val="28"/>
          <w:highlight w:val="white"/>
        </w:rPr>
        <w:t xml:space="preserve">на террито</w:t>
      </w:r>
      <w:r>
        <w:rPr>
          <w:rFonts w:eastAsia="Calibri"/>
          <w:sz w:val="28"/>
          <w:szCs w:val="28"/>
          <w:highlight w:val="white"/>
        </w:rPr>
        <w:t xml:space="preserve">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eastAsia="Calibri"/>
          <w:sz w:val="28"/>
          <w:szCs w:val="28"/>
          <w:highlight w:val="white"/>
        </w:rPr>
        <w:t xml:space="preserve"> (далее – специальная военная операция)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умерли вследствие увечья (контузии, травмы, ранения), полученных в ходе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</w:t>
      </w:r>
      <w:r>
        <w:rPr>
          <w:rFonts w:eastAsia="Calibri"/>
          <w:sz w:val="28"/>
          <w:szCs w:val="28"/>
          <w:highlight w:val="white"/>
        </w:rPr>
        <w:t xml:space="preserve">В Порядке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</w:t>
      </w:r>
      <w:r>
        <w:rPr>
          <w:rFonts w:eastAsia="Calibri"/>
          <w:sz w:val="28"/>
          <w:szCs w:val="28"/>
          <w:highlight w:val="white"/>
        </w:rPr>
        <w:t xml:space="preserve">сти и муниципальные образовательные организации, иные </w:t>
      </w:r>
      <w:r>
        <w:rPr>
          <w:rFonts w:eastAsia="Calibri"/>
          <w:sz w:val="28"/>
          <w:szCs w:val="28"/>
          <w:highlight w:val="white"/>
        </w:rPr>
        <w:t xml:space="preserve">образовательные организации, реализующие образовательную программу дошкольного образования, с критериями нуждаемости в ней и порядке ее выплаты: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абзац пятый пункта 3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2) один из родителей (единственный родитель или законный представитель) </w:t>
      </w:r>
      <w:r>
        <w:rPr>
          <w:rFonts w:eastAsia="Calibri"/>
          <w:sz w:val="28"/>
          <w:szCs w:val="28"/>
          <w:highlight w:val="white"/>
        </w:rPr>
        <w:t xml:space="preserve">погиб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пропал без вести, </w:t>
      </w:r>
      <w:r>
        <w:rPr>
          <w:rFonts w:eastAsia="Calibri"/>
          <w:sz w:val="28"/>
          <w:szCs w:val="28"/>
          <w:highlight w:val="white"/>
        </w:rPr>
        <w:t xml:space="preserve">признан в установленном порядке безвестно отсутствующим или объявлен умершим) в результате участия в специальной военной операции на территориях Украины, Донецкой Народной </w:t>
      </w:r>
      <w:r>
        <w:rPr>
          <w:rFonts w:eastAsia="Calibri"/>
          <w:sz w:val="28"/>
          <w:szCs w:val="28"/>
          <w:highlight w:val="white"/>
        </w:rPr>
        <w:t xml:space="preserve">Республики, Луганской Народной Республики, Запорожской области и Херсонской области (далее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специальная военная операция)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умер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полученных в ходе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 К указанной категории граждан относятся граждане из числа военнослужащих, лиц, пребывавших в добровольческих формированиях, содейству</w:t>
      </w:r>
      <w:r>
        <w:rPr>
          <w:rFonts w:eastAsia="Calibri"/>
          <w:sz w:val="28"/>
          <w:szCs w:val="28"/>
          <w:highlight w:val="white"/>
        </w:rPr>
        <w:t xml:space="preserve">ю</w:t>
      </w:r>
      <w:r>
        <w:rPr>
          <w:rFonts w:eastAsia="Calibri"/>
          <w:sz w:val="28"/>
          <w:szCs w:val="28"/>
          <w:highlight w:val="white"/>
        </w:rPr>
        <w:t xml:space="preserve">щих выполнению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</w:t>
      </w:r>
      <w:r>
        <w:rPr>
          <w:rFonts w:eastAsia="Calibri"/>
          <w:sz w:val="28"/>
          <w:szCs w:val="28"/>
          <w:highlight w:val="white"/>
        </w:rPr>
        <w:t xml:space="preserve">анов внутренних дел Российской Федерации,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принимавших участие в специальной военной операции,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Российской Федерации, на которых Указом Президента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19.10.2022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№ 757 «О мерах, осуществляемых в субъектах Российской Федер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ации в связи с Указом Президента Российской Федерации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19 октября 2022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№ 756»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Указ № 757)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вое</w:t>
      </w:r>
      <w:r>
        <w:rPr>
          <w:rFonts w:eastAsia="Calibri"/>
          <w:sz w:val="28"/>
          <w:szCs w:val="28"/>
          <w:highlight w:val="white"/>
        </w:rPr>
        <w:t xml:space="preserve">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задачи по об</w:t>
      </w:r>
      <w:r>
        <w:rPr>
          <w:rFonts w:eastAsia="Calibri"/>
          <w:sz w:val="28"/>
          <w:szCs w:val="28"/>
          <w:highlight w:val="white"/>
        </w:rPr>
        <w:t xml:space="preserve">еспечению безопасности Российской Федерации на участках, примыкающих к районам проведения специальной военной операции.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абзац седьмой пункта 7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о том, что один из родителей (единственный родитель или законный представитель) ребенка </w:t>
      </w:r>
      <w:r>
        <w:rPr>
          <w:rFonts w:eastAsia="Calibri"/>
          <w:sz w:val="28"/>
          <w:szCs w:val="28"/>
          <w:highlight w:val="white"/>
        </w:rPr>
        <w:t xml:space="preserve">погиб </w:t>
      </w: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пропал без вести,</w:t>
      </w:r>
      <w:r>
        <w:rPr>
          <w:rFonts w:eastAsia="Calibri"/>
          <w:sz w:val="28"/>
          <w:szCs w:val="28"/>
          <w:highlight w:val="white"/>
        </w:rPr>
        <w:t xml:space="preserve"> признан в установленном порядке безвестно отсутствующим или объявлен умершим) в результате участия в специальной военной операции,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умер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полученных в ходе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</w:t>
      </w:r>
      <w:r>
        <w:rPr>
          <w:rFonts w:eastAsia="Calibri"/>
          <w:sz w:val="28"/>
          <w:szCs w:val="28"/>
          <w:highlight w:val="white"/>
        </w:rPr>
        <w:t xml:space="preserve">в абзаце третьем пункта 9 слова «в пункте 11» заменить словами «в пунктах 11, 15»;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</w:t>
      </w:r>
      <w:r>
        <w:rPr>
          <w:rFonts w:eastAsia="Calibri"/>
          <w:sz w:val="28"/>
          <w:szCs w:val="28"/>
          <w:highlight w:val="white"/>
        </w:rPr>
        <w:t xml:space="preserve">в пункте</w:t>
      </w:r>
      <w:r>
        <w:rPr>
          <w:rFonts w:eastAsia="Calibri"/>
          <w:sz w:val="28"/>
          <w:szCs w:val="28"/>
          <w:highlight w:val="white"/>
        </w:rPr>
        <w:t xml:space="preserve"> 11: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) абзац семнадцатый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(извещение или справка)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подтверждающий гибель,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установление факта пропажи без вести, смерть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вследствие увечья (контузии, травмы, ранения), полученных в ходе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военной операции,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в ходе участия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боевых действиях на территориях субъектов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кой Федерации, на которых Указом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757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введен средний уровень реагирования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 специальной военной операции, выданный органом военного управления,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дразделением ФСБ России, органом федеральной службы безопасности, органами внутренних дел Российской Федерации либо военным комиссариатом,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копию решения суда об объявлении гражданина умершим или о признании гражданина безвестно отсутствующим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(представляется в отношении </w:t>
      </w:r>
      <w:r>
        <w:rPr>
          <w:rFonts w:eastAsia="Calibri"/>
          <w:sz w:val="28"/>
          <w:szCs w:val="28"/>
          <w:highlight w:val="white"/>
        </w:rPr>
        <w:t xml:space="preserve">ребенка,</w:t>
      </w:r>
      <w:r>
        <w:rPr>
          <w:rFonts w:eastAsia="Calibri"/>
          <w:sz w:val="28"/>
          <w:szCs w:val="28"/>
          <w:highlight w:val="white"/>
        </w:rPr>
        <w:t xml:space="preserve"> один из родителей (единственный родитель или законный представитель)</w:t>
      </w:r>
      <w:r>
        <w:rPr>
          <w:rFonts w:eastAsia="Calibri"/>
          <w:sz w:val="28"/>
          <w:szCs w:val="28"/>
          <w:highlight w:val="white"/>
        </w:rPr>
        <w:t xml:space="preserve"> которого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погиб </w:t>
      </w: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пропал без вести,</w:t>
      </w:r>
      <w:r>
        <w:rPr>
          <w:rFonts w:eastAsia="Calibri"/>
          <w:sz w:val="28"/>
          <w:szCs w:val="28"/>
          <w:highlight w:val="white"/>
        </w:rPr>
        <w:t xml:space="preserve"> признан в установленном порядке безвестно отсутствующим или объявлен умершим) в результате участия в специальной военной операции,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умер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полученных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абзац </w:t>
      </w:r>
      <w:r>
        <w:rPr>
          <w:rFonts w:eastAsia="Calibri"/>
          <w:sz w:val="28"/>
          <w:szCs w:val="28"/>
          <w:highlight w:val="white"/>
        </w:rPr>
        <w:t xml:space="preserve">девятнадцатый</w:t>
      </w:r>
      <w:r>
        <w:rPr>
          <w:rFonts w:eastAsia="Calibri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Документы, указанные в подпунктах 3-6 настоящего пункта Порядка, не представляются в отношении </w:t>
      </w:r>
      <w:r>
        <w:rPr>
          <w:rFonts w:eastAsia="Calibri"/>
          <w:sz w:val="28"/>
          <w:szCs w:val="28"/>
          <w:highlight w:val="white"/>
        </w:rPr>
        <w:t xml:space="preserve">ребенка,</w:t>
      </w:r>
      <w:r>
        <w:rPr>
          <w:rFonts w:eastAsia="Calibri"/>
          <w:sz w:val="28"/>
          <w:szCs w:val="28"/>
          <w:highlight w:val="white"/>
        </w:rPr>
        <w:t xml:space="preserve"> один из родителей (единственный родитель или законный представитель) которого </w:t>
      </w:r>
      <w:r>
        <w:rPr>
          <w:rFonts w:eastAsia="Calibri"/>
          <w:sz w:val="28"/>
          <w:szCs w:val="28"/>
          <w:highlight w:val="white"/>
        </w:rPr>
        <w:t xml:space="preserve">погиб </w:t>
      </w: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пропал без вести,</w:t>
      </w:r>
      <w:r>
        <w:rPr>
          <w:rFonts w:eastAsia="Calibri"/>
          <w:sz w:val="28"/>
          <w:szCs w:val="28"/>
          <w:highlight w:val="white"/>
        </w:rPr>
        <w:t xml:space="preserve"> признан в установленном порядке безвестно отсутствующим или объявлен умершим) в результате участия в специальной военной операции,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умер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полученных в ходе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5) пункт 15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15. </w:t>
      </w:r>
      <w:r>
        <w:rPr>
          <w:rFonts w:eastAsia="Calibri"/>
          <w:sz w:val="28"/>
          <w:szCs w:val="28"/>
          <w:highlight w:val="white"/>
        </w:rPr>
        <w:t xml:space="preserve">Заявитель (его уполномоченный представитель) вправе представить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сведения о лишении родителей (законных представителей) (или одного из них) родительских прав в отношении ребенка (детей);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сведения об ограничении родителей (законных представителей) (или одного из них) родительских прав в отношении ребенка (детей);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сведения о заключении (расторжении) брака между родителями (законными представителями) ребенка (детей), проживающего в семье;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5) сведения об установлении или оспаривании отцовства (материнства) в отношении ребенка (детей), проживающего в семье;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6) 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7) сведения об установлении опеки (попечительства) над ребенком (детьми), проживающим в семье;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справку о подтверждении факта участия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выданн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специальной военной операц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09.10.2024 № 1354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Если докумен</w:t>
      </w:r>
      <w:r>
        <w:rPr>
          <w:rFonts w:eastAsia="Calibri"/>
          <w:sz w:val="28"/>
          <w:szCs w:val="28"/>
          <w:highlight w:val="white"/>
        </w:rPr>
        <w:t xml:space="preserve">ты (сведения), представляемые заявителем (его уполномоченным представителем) по собственной инициативе, не представлены, информация (сведения) о них запрашивается центром социальной поддержки населения посредством межведомственного информационного взаимоде</w:t>
      </w:r>
      <w:r>
        <w:rPr>
          <w:rFonts w:eastAsia="Calibri"/>
          <w:sz w:val="28"/>
          <w:szCs w:val="28"/>
          <w:highlight w:val="white"/>
        </w:rPr>
        <w:t xml:space="preserve">йствия.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6) в абзаце двадцатом пункта 16 </w:t>
      </w:r>
      <w:r>
        <w:rPr>
          <w:rFonts w:eastAsia="Calibri"/>
          <w:sz w:val="28"/>
          <w:szCs w:val="28"/>
          <w:highlight w:val="white"/>
        </w:rPr>
        <w:t xml:space="preserve">слова </w:t>
      </w: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погибли (умерли, признаны в установленном порядке безвестно отсутствующими или объявлены умершими)</w:t>
      </w:r>
      <w:r>
        <w:rPr>
          <w:rFonts w:eastAsia="Calibri"/>
          <w:sz w:val="28"/>
          <w:szCs w:val="28"/>
          <w:highlight w:val="white"/>
        </w:rPr>
        <w:t xml:space="preserve">» </w:t>
      </w:r>
      <w:r>
        <w:rPr>
          <w:rFonts w:eastAsia="Calibri"/>
          <w:sz w:val="28"/>
          <w:szCs w:val="28"/>
          <w:highlight w:val="white"/>
        </w:rPr>
        <w:t xml:space="preserve">заменить словами «</w:t>
      </w:r>
      <w:r>
        <w:rPr>
          <w:rFonts w:eastAsia="Calibri"/>
          <w:sz w:val="28"/>
          <w:szCs w:val="28"/>
          <w:highlight w:val="white"/>
        </w:rPr>
        <w:t xml:space="preserve">погибли </w:t>
      </w: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пропали без вести,</w:t>
      </w:r>
      <w:r>
        <w:rPr>
          <w:rFonts w:eastAsia="Calibri"/>
          <w:sz w:val="28"/>
          <w:szCs w:val="28"/>
          <w:highlight w:val="white"/>
        </w:rPr>
        <w:t xml:space="preserve"> признаны в установленном порядке безвестно отсутствующим или объявлены умершими) в результате участия в специальной военной операции,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умерли вследствие увечья (контузии, 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вмы, ранения)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полученных в ходе специальной военной операции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</w:t>
      </w:r>
      <w:r>
        <w:rPr>
          <w:rFonts w:eastAsia="Calibri"/>
          <w:sz w:val="20"/>
          <w:szCs w:val="20"/>
          <w:highlight w:val="white"/>
        </w:rPr>
        <w:t xml:space="preserve">Бахарева</w:t>
      </w:r>
      <w:r>
        <w:rPr>
          <w:highlight w:val="white"/>
        </w:rPr>
      </w:r>
      <w:r>
        <w:rPr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5"/>
    <w:link w:val="719"/>
    <w:uiPriority w:val="10"/>
    <w:rPr>
      <w:sz w:val="48"/>
      <w:szCs w:val="48"/>
    </w:rPr>
  </w:style>
  <w:style w:type="character" w:styleId="688">
    <w:name w:val="Subtitle Char"/>
    <w:basedOn w:val="705"/>
    <w:link w:val="721"/>
    <w:uiPriority w:val="11"/>
    <w:rPr>
      <w:sz w:val="24"/>
      <w:szCs w:val="24"/>
    </w:rPr>
  </w:style>
  <w:style w:type="character" w:styleId="689">
    <w:name w:val="Quote Char"/>
    <w:link w:val="723"/>
    <w:uiPriority w:val="29"/>
    <w:rPr>
      <w:i/>
    </w:rPr>
  </w:style>
  <w:style w:type="character" w:styleId="690">
    <w:name w:val="Intense Quote Char"/>
    <w:link w:val="725"/>
    <w:uiPriority w:val="30"/>
    <w:rPr>
      <w:i/>
    </w:rPr>
  </w:style>
  <w:style w:type="character" w:styleId="691">
    <w:name w:val="Header Char"/>
    <w:basedOn w:val="705"/>
    <w:link w:val="727"/>
    <w:uiPriority w:val="99"/>
  </w:style>
  <w:style w:type="character" w:styleId="692">
    <w:name w:val="Caption Char"/>
    <w:basedOn w:val="731"/>
    <w:link w:val="729"/>
    <w:uiPriority w:val="99"/>
  </w:style>
  <w:style w:type="character" w:styleId="693">
    <w:name w:val="Footnote Text Char"/>
    <w:link w:val="860"/>
    <w:uiPriority w:val="99"/>
    <w:rPr>
      <w:sz w:val="18"/>
    </w:rPr>
  </w:style>
  <w:style w:type="character" w:styleId="694">
    <w:name w:val="Endnote Text Char"/>
    <w:link w:val="863"/>
    <w:uiPriority w:val="99"/>
    <w:rPr>
      <w:sz w:val="20"/>
    </w:rPr>
  </w:style>
  <w:style w:type="paragraph" w:styleId="695" w:default="1">
    <w:name w:val="Normal"/>
    <w:rPr>
      <w:sz w:val="24"/>
      <w:szCs w:val="24"/>
      <w:lang w:eastAsia="zh-CN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5"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95"/>
    <w:next w:val="894"/>
    <w:link w:val="72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95"/>
    <w:next w:val="695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5"/>
    <w:next w:val="695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5"/>
    <w:next w:val="695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95"/>
    <w:link w:val="728"/>
  </w:style>
  <w:style w:type="character" w:styleId="728" w:customStyle="1">
    <w:name w:val="Верхний колонтитул Знак1"/>
    <w:link w:val="727"/>
    <w:uiPriority w:val="99"/>
  </w:style>
  <w:style w:type="paragraph" w:styleId="729">
    <w:name w:val="Footer"/>
    <w:basedOn w:val="695"/>
    <w:link w:val="732"/>
  </w:style>
  <w:style w:type="character" w:styleId="730" w:customStyle="1">
    <w:name w:val="Footer Char"/>
    <w:uiPriority w:val="99"/>
  </w:style>
  <w:style w:type="paragraph" w:styleId="73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Нижний колонтитул Знак1"/>
    <w:link w:val="729"/>
    <w:uiPriority w:val="99"/>
  </w:style>
  <w:style w:type="table" w:styleId="733">
    <w:name w:val="Table Grid"/>
    <w:basedOn w:val="70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0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0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0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0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0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0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0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0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0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0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0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0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0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0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0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0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0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0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0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0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0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0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0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0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0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0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0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0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0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0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0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0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0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0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0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0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0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0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0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0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0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0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0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0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0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0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0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0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0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69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5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5"/>
    <w:next w:val="695"/>
    <w:uiPriority w:val="39"/>
    <w:unhideWhenUsed/>
    <w:pPr>
      <w:spacing w:after="57"/>
    </w:pPr>
  </w:style>
  <w:style w:type="paragraph" w:styleId="86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5"/>
    <w:next w:val="695"/>
    <w:uiPriority w:val="99"/>
    <w:unhideWhenUsed/>
  </w:style>
  <w:style w:type="character" w:styleId="877" w:customStyle="1">
    <w:name w:val="WW8Num1z0"/>
  </w:style>
  <w:style w:type="character" w:styleId="878" w:customStyle="1">
    <w:name w:val="WW8Num1z1"/>
  </w:style>
  <w:style w:type="character" w:styleId="879" w:customStyle="1">
    <w:name w:val="WW8Num1z2"/>
  </w:style>
  <w:style w:type="character" w:styleId="880" w:customStyle="1">
    <w:name w:val="WW8Num1z3"/>
  </w:style>
  <w:style w:type="character" w:styleId="881" w:customStyle="1">
    <w:name w:val="WW8Num1z4"/>
  </w:style>
  <w:style w:type="character" w:styleId="882" w:customStyle="1">
    <w:name w:val="WW8Num1z5"/>
  </w:style>
  <w:style w:type="character" w:styleId="883" w:customStyle="1">
    <w:name w:val="WW8Num1z6"/>
  </w:style>
  <w:style w:type="character" w:styleId="884" w:customStyle="1">
    <w:name w:val="WW8Num1z7"/>
  </w:style>
  <w:style w:type="character" w:styleId="885" w:customStyle="1">
    <w:name w:val="WW8Num1z8"/>
  </w:style>
  <w:style w:type="character" w:styleId="886" w:customStyle="1">
    <w:name w:val="Выделение жирным"/>
    <w:rPr>
      <w:b/>
      <w:bCs/>
    </w:rPr>
  </w:style>
  <w:style w:type="character" w:styleId="887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888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889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890">
    <w:name w:val="annotation reference"/>
    <w:rPr>
      <w:sz w:val="16"/>
      <w:szCs w:val="16"/>
    </w:rPr>
  </w:style>
  <w:style w:type="character" w:styleId="891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892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893" w:customStyle="1">
    <w:name w:val="Интернет-ссылка"/>
    <w:rPr>
      <w:color w:val="000080"/>
      <w:u w:val="single"/>
      <w:lang w:val="en-US" w:eastAsia="en-US" w:bidi="en-US"/>
    </w:rPr>
  </w:style>
  <w:style w:type="paragraph" w:styleId="894">
    <w:name w:val="Body Text"/>
    <w:basedOn w:val="695"/>
    <w:pPr>
      <w:spacing w:after="140" w:line="276" w:lineRule="auto"/>
    </w:pPr>
  </w:style>
  <w:style w:type="paragraph" w:styleId="895">
    <w:name w:val="List"/>
    <w:basedOn w:val="894"/>
    <w:rPr>
      <w:rFonts w:cs="Droid Sans Devanagari"/>
    </w:rPr>
  </w:style>
  <w:style w:type="paragraph" w:styleId="896" w:customStyle="1">
    <w:name w:val="Название"/>
    <w:basedOn w:val="695"/>
    <w:pPr>
      <w:spacing w:before="120" w:after="120"/>
      <w:suppressLineNumbers/>
    </w:pPr>
    <w:rPr>
      <w:rFonts w:cs="Droid Sans Devanagari"/>
      <w:i/>
      <w:iCs/>
    </w:rPr>
  </w:style>
  <w:style w:type="paragraph" w:styleId="897">
    <w:name w:val="index heading"/>
    <w:basedOn w:val="695"/>
    <w:pPr>
      <w:suppressLineNumbers/>
    </w:pPr>
    <w:rPr>
      <w:rFonts w:cs="Droid Sans Devanagari"/>
    </w:rPr>
  </w:style>
  <w:style w:type="paragraph" w:styleId="898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899" w:customStyle="1">
    <w:name w:val="Верхний и нижний колонтитулы"/>
    <w:basedOn w:val="695"/>
    <w:pPr>
      <w:tabs>
        <w:tab w:val="center" w:pos="4819" w:leader="none"/>
        <w:tab w:val="right" w:pos="9638" w:leader="none"/>
      </w:tabs>
      <w:suppressLineNumbers/>
    </w:pPr>
  </w:style>
  <w:style w:type="paragraph" w:styleId="900">
    <w:name w:val="Balloon Text"/>
    <w:basedOn w:val="695"/>
    <w:rPr>
      <w:rFonts w:ascii="Tahoma" w:hAnsi="Tahoma" w:cs="Tahoma"/>
      <w:sz w:val="16"/>
      <w:szCs w:val="16"/>
    </w:rPr>
  </w:style>
  <w:style w:type="paragraph" w:styleId="901">
    <w:name w:val="annotation text"/>
    <w:basedOn w:val="695"/>
    <w:rPr>
      <w:sz w:val="20"/>
      <w:szCs w:val="20"/>
    </w:rPr>
  </w:style>
  <w:style w:type="paragraph" w:styleId="902">
    <w:name w:val="annotation subject"/>
    <w:basedOn w:val="901"/>
    <w:next w:val="901"/>
    <w:rPr>
      <w:b/>
      <w:bCs/>
    </w:rPr>
  </w:style>
  <w:style w:type="paragraph" w:styleId="903" w:customStyle="1">
    <w:name w:val="Содержимое таблицы"/>
    <w:basedOn w:val="695"/>
    <w:pPr>
      <w:suppressLineNumbers/>
    </w:pPr>
  </w:style>
  <w:style w:type="paragraph" w:styleId="904" w:customStyle="1">
    <w:name w:val="Заголовок таблицы"/>
    <w:basedOn w:val="903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11</cp:revision>
  <dcterms:created xsi:type="dcterms:W3CDTF">2024-08-21T04:36:00Z</dcterms:created>
  <dcterms:modified xsi:type="dcterms:W3CDTF">2024-12-13T04:42:18Z</dcterms:modified>
</cp:coreProperties>
</file>