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6"/>
        <w:ind w:left="4956" w:right="0" w:firstLine="1281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Проект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6"/>
        <w:ind w:left="4956" w:right="0" w:firstLine="1281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постановления Правительства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6"/>
        <w:ind w:left="4956" w:right="0" w:firstLine="1281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Новосибирской области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6"/>
        <w:ind w:left="0"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6"/>
        <w:ind w:left="0"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6"/>
        <w:ind w:left="0"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6"/>
        <w:ind w:left="0"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6"/>
        <w:ind w:left="0"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6"/>
        <w:ind w:left="0"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6"/>
        <w:ind w:left="0"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6"/>
        <w:ind w:left="0"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6"/>
        <w:ind w:left="0"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6"/>
        <w:ind w:left="0" w:right="-144" w:firstLine="48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6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 внесении изменения в </w:t>
      </w:r>
      <w:r>
        <w:rPr>
          <w:sz w:val="28"/>
          <w:szCs w:val="28"/>
          <w:highlight w:val="white"/>
        </w:rPr>
        <w:t xml:space="preserve">постановление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756"/>
        <w:jc w:val="center"/>
        <w:rPr>
          <w:color w:val="000000"/>
          <w:sz w:val="22"/>
          <w:szCs w:val="22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Правительства Новосибирской области от 13.04.2022 № 157-п</w:t>
      </w:r>
      <w:r>
        <w:rPr>
          <w:color w:val="000000"/>
          <w:sz w:val="22"/>
          <w:szCs w:val="22"/>
          <w:highlight w:val="white"/>
        </w:rPr>
      </w:r>
      <w:r>
        <w:rPr>
          <w:color w:val="000000"/>
          <w:sz w:val="22"/>
          <w:szCs w:val="22"/>
          <w:highlight w:val="white"/>
        </w:rPr>
      </w:r>
    </w:p>
    <w:p>
      <w:pPr>
        <w:pStyle w:val="756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pStyle w:val="756"/>
        <w:jc w:val="center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pStyle w:val="756"/>
        <w:ind w:left="0" w:right="0"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Правительство Новосибирской области</w:t>
      </w:r>
      <w:r>
        <w:rPr>
          <w:b/>
          <w:color w:val="000000"/>
          <w:sz w:val="28"/>
          <w:szCs w:val="28"/>
          <w:highlight w:val="white"/>
        </w:rPr>
        <w:t xml:space="preserve"> п о с т а н о в л я е т</w:t>
      </w:r>
      <w:r>
        <w:rPr>
          <w:color w:val="000000"/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56"/>
        <w:ind w:left="0" w:right="0" w:firstLine="708"/>
        <w:jc w:val="both"/>
        <w:rPr>
          <w:rFonts w:eastAsia="Calibri"/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 Внести в </w:t>
      </w:r>
      <w:r>
        <w:rPr>
          <w:rFonts w:eastAsia="Calibri"/>
          <w:sz w:val="28"/>
          <w:szCs w:val="28"/>
          <w:highlight w:val="white"/>
        </w:rPr>
        <w:t xml:space="preserve">постановление Правительства Новосибирск</w:t>
      </w:r>
      <w:r>
        <w:rPr>
          <w:rFonts w:eastAsia="Calibri"/>
          <w:sz w:val="28"/>
          <w:szCs w:val="28"/>
          <w:highlight w:val="white"/>
        </w:rPr>
        <w:t xml:space="preserve">ой области от 13.04.2022 № 157-п «Об оказании единовременной помощи участникам специальной военной операции, проводимой на территории Украины, Донецкой Народной Республики, Луганской Народной Республики, Запорожской области, Херсонской области, и членам их</w:t>
      </w:r>
      <w:r>
        <w:rPr>
          <w:rFonts w:eastAsia="Calibri"/>
          <w:sz w:val="28"/>
          <w:szCs w:val="28"/>
          <w:highlight w:val="white"/>
        </w:rPr>
        <w:t xml:space="preserve">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 следующее изменение:</w:t>
      </w:r>
      <w:r>
        <w:rPr>
          <w:rFonts w:eastAsia="Calibri"/>
          <w:color w:val="000000"/>
          <w:sz w:val="28"/>
          <w:szCs w:val="28"/>
          <w:highlight w:val="white"/>
        </w:rPr>
      </w:r>
      <w:r>
        <w:rPr>
          <w:rFonts w:eastAsia="Calibri"/>
          <w:color w:val="000000"/>
          <w:sz w:val="28"/>
          <w:szCs w:val="28"/>
          <w:highlight w:val="white"/>
        </w:rPr>
      </w:r>
    </w:p>
    <w:p>
      <w:pPr>
        <w:pStyle w:val="756"/>
        <w:ind w:left="0" w:right="0" w:firstLine="708"/>
        <w:jc w:val="both"/>
        <w:rPr>
          <w:highlight w:val="white"/>
          <w:shd w:val="clear" w:color="auto" w:fill="ffff00"/>
        </w:rPr>
      </w:pPr>
      <w:r>
        <w:rPr>
          <w:rFonts w:eastAsia="Calibri"/>
          <w:color w:val="000000"/>
          <w:sz w:val="28"/>
          <w:szCs w:val="28"/>
          <w:highlight w:val="white"/>
          <w:shd w:val="clear" w:color="auto" w:fill="ffff00"/>
        </w:rPr>
        <w:t xml:space="preserve">пункт 4 дополнить подпунктом 5 следующего содержания:</w:t>
      </w:r>
      <w:r>
        <w:rPr>
          <w:highlight w:val="white"/>
          <w:shd w:val="clear" w:color="auto" w:fill="ffff00"/>
        </w:rPr>
      </w:r>
      <w:r>
        <w:rPr>
          <w:highlight w:val="white"/>
          <w:shd w:val="clear" w:color="auto" w:fill="ffff00"/>
        </w:rPr>
      </w:r>
    </w:p>
    <w:p>
      <w:pPr>
        <w:ind w:firstLine="708"/>
        <w:jc w:val="both"/>
        <w:shd w:val="nil" w:color="auto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«5) совершеннолетние дети погибшего (умершего) военнослужащего (</w:t>
      </w:r>
      <w:r>
        <w:rPr>
          <w:sz w:val="28"/>
          <w:szCs w:val="28"/>
          <w:highlight w:val="white"/>
        </w:rPr>
        <w:t xml:space="preserve">ес</w:t>
      </w:r>
      <w:r>
        <w:rPr>
          <w:sz w:val="28"/>
          <w:szCs w:val="28"/>
          <w:highlight w:val="white"/>
        </w:rPr>
        <w:t xml:space="preserve">л</w:t>
      </w:r>
      <w:r>
        <w:rPr>
          <w:sz w:val="28"/>
          <w:szCs w:val="28"/>
          <w:highlight w:val="white"/>
        </w:rPr>
        <w:t xml:space="preserve">и </w:t>
      </w:r>
      <w:r>
        <w:rPr>
          <w:sz w:val="28"/>
          <w:szCs w:val="28"/>
          <w:highlight w:val="white"/>
        </w:rPr>
        <w:t xml:space="preserve">отсутствуют граждане, указанные в подпунктах 1 - 4 настоящего пункта).»;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756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2. </w:t>
      </w:r>
      <w:r>
        <w:rPr>
          <w:rFonts w:eastAsia="Calibri"/>
          <w:color w:val="000000"/>
          <w:sz w:val="28"/>
          <w:szCs w:val="28"/>
          <w:highlight w:val="white"/>
        </w:rPr>
        <w:t xml:space="preserve">Действие настоящего постановления распространяется на правоотношения, возникшие с 24 февраля 2022 года.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pStyle w:val="756"/>
        <w:ind w:left="0" w:right="0" w:firstLine="708"/>
        <w:jc w:val="both"/>
        <w:rPr>
          <w:sz w:val="28"/>
          <w:szCs w:val="28"/>
          <w:highlight w:val="none"/>
          <w:shd w:val="clear" w:color="auto" w:fill="ffdead"/>
        </w:rPr>
      </w:pPr>
      <w:r>
        <w:rPr>
          <w:sz w:val="28"/>
          <w:szCs w:val="28"/>
          <w:shd w:val="clear" w:color="auto" w:fill="ffdead"/>
        </w:rPr>
      </w:r>
      <w:r>
        <w:rPr>
          <w:sz w:val="28"/>
          <w:szCs w:val="28"/>
          <w:highlight w:val="none"/>
          <w:shd w:val="clear" w:color="auto" w:fill="ffdead"/>
        </w:rPr>
      </w:r>
      <w:r>
        <w:rPr>
          <w:sz w:val="28"/>
          <w:szCs w:val="28"/>
          <w:highlight w:val="none"/>
          <w:shd w:val="clear" w:color="auto" w:fill="ffdead"/>
        </w:rPr>
      </w:r>
    </w:p>
    <w:p>
      <w:pPr>
        <w:pStyle w:val="756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6"/>
        <w:ind w:left="0" w:right="0" w:firstLine="708"/>
        <w:jc w:val="both"/>
        <w:rPr>
          <w:rFonts w:eastAsia="Calibri"/>
          <w:color w:val="000000"/>
          <w:sz w:val="28"/>
          <w:szCs w:val="28"/>
          <w:highlight w:val="yellow"/>
        </w:rPr>
      </w:pPr>
      <w:r>
        <w:rPr>
          <w:rFonts w:eastAsia="Calibri"/>
          <w:color w:val="000000"/>
          <w:sz w:val="28"/>
          <w:szCs w:val="28"/>
          <w:highlight w:val="yellow"/>
        </w:rPr>
      </w:r>
      <w:r>
        <w:rPr>
          <w:rFonts w:eastAsia="Calibri"/>
          <w:color w:val="000000"/>
          <w:sz w:val="28"/>
          <w:szCs w:val="28"/>
          <w:highlight w:val="yellow"/>
        </w:rPr>
      </w:r>
      <w:r>
        <w:rPr>
          <w:rFonts w:eastAsia="Calibri"/>
          <w:color w:val="000000"/>
          <w:sz w:val="28"/>
          <w:szCs w:val="28"/>
          <w:highlight w:val="yellow"/>
        </w:rPr>
      </w:r>
    </w:p>
    <w:p>
      <w:pPr>
        <w:pStyle w:val="75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pStyle w:val="756"/>
        <w:ind w:left="0" w:right="-1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56"/>
        <w:ind w:left="0" w:right="-1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56"/>
        <w:ind w:left="0" w:right="-1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56"/>
        <w:ind w:left="0" w:right="-1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56"/>
        <w:ind w:left="0" w:right="-1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0" w:right="-1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56"/>
        <w:ind w:left="0" w:right="-1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56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6"/>
        <w:widowControl w:val="off"/>
        <w:rPr>
          <w:color w:val="000000"/>
        </w:rPr>
      </w:pPr>
      <w:r>
        <w:rPr>
          <w:color w:val="000000"/>
        </w:rPr>
        <w:t xml:space="preserve">Е.В Бахарева</w:t>
      </w:r>
      <w:r>
        <w:rPr>
          <w:color w:val="000000"/>
        </w:rPr>
      </w:r>
      <w:r>
        <w:rPr>
          <w:color w:val="000000"/>
        </w:rPr>
      </w:r>
    </w:p>
    <w:p>
      <w:pPr>
        <w:pStyle w:val="756"/>
        <w:widowControl w:val="off"/>
        <w:rPr>
          <w:color w:val="000000"/>
          <w:highlight w:val="none"/>
        </w:rPr>
      </w:pPr>
      <w:r>
        <w:rPr>
          <w:color w:val="000000"/>
        </w:rPr>
        <w:t xml:space="preserve">238 75 10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766" w:right="567" w:bottom="1134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Liberation Sans">
    <w:panose1 w:val="020B0604020202020204"/>
  </w:font>
  <w:font w:name="Arial">
    <w:panose1 w:val="020B0604020202020204"/>
  </w:font>
  <w:font w:name="Tahoma">
    <w:panose1 w:val="020B0604030504040204"/>
  </w:font>
  <w:font w:name="Droid Sans Devanagari">
    <w:panose1 w:val="020B0606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contextualSpacing/>
      <w:jc w:val="both"/>
      <w:spacing w:before="0" w:after="0" w:line="240" w:lineRule="auto"/>
      <w:rPr>
        <w:rFonts w:ascii="Times New Roman" w:hAnsi="Times New Roman"/>
        <w:b/>
        <w:bCs/>
        <w:sz w:val="16"/>
        <w:szCs w:val="16"/>
      </w:rPr>
    </w:pPr>
    <w:r>
      <w:rPr>
        <w:b/>
        <w:bCs/>
        <w:sz w:val="16"/>
        <w:szCs w:val="16"/>
      </w:rPr>
    </w:r>
    <w:r>
      <w:rPr>
        <w:rFonts w:ascii="Times New Roman" w:hAnsi="Times New Roman"/>
        <w:b/>
        <w:bCs/>
        <w:sz w:val="16"/>
        <w:szCs w:val="16"/>
      </w:rPr>
    </w:r>
    <w:r>
      <w:rPr>
        <w:rFonts w:ascii="Times New Roman" w:hAnsi="Times New Roman"/>
        <w:b/>
        <w:bCs/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both"/>
      <w:rPr>
        <w:rFonts w:eastAsia="Calibri"/>
        <w:color w:val="000000"/>
        <w:sz w:val="16"/>
        <w:szCs w:val="16"/>
        <w:highlight w:val="none"/>
      </w:rPr>
    </w:pPr>
    <w:r>
      <w:rPr>
        <w:rFonts w:eastAsia="Calibri"/>
        <w:color w:val="000000"/>
        <w:sz w:val="16"/>
        <w:szCs w:val="16"/>
      </w:rPr>
    </w:r>
    <w:r>
      <w:rPr>
        <w:rFonts w:eastAsia="Calibri"/>
        <w:color w:val="000000"/>
        <w:sz w:val="16"/>
        <w:szCs w:val="16"/>
        <w:highlight w:val="none"/>
      </w:rPr>
    </w:r>
    <w:r>
      <w:rPr>
        <w:rFonts w:eastAsia="Calibri"/>
        <w:color w:val="000000"/>
        <w:sz w:val="16"/>
        <w:szCs w:val="16"/>
        <w:highlight w:val="none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7</w:t>
    </w:r>
    <w:r>
      <w:fldChar w:fldCharType="end"/>
    </w:r>
    <w:r/>
  </w:p>
  <w:p>
    <w:pPr>
      <w:pStyle w:val="82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  <w:p>
    <w:pPr>
      <w:pStyle w:val="822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  <w:p>
    <w:pPr>
      <w:pStyle w:val="822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  <w:p>
    <w:pPr>
      <w:pStyle w:val="82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jc w:val="center"/>
    </w:pPr>
    <w:r/>
    <w:r/>
  </w:p>
  <w:p>
    <w:pPr>
      <w:pStyle w:val="8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5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Droid Sans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57">
    <w:name w:val="Heading 1"/>
    <w:basedOn w:val="756"/>
    <w:uiPriority w:val="9"/>
    <w:qFormat/>
    <w:pPr>
      <w:numPr>
        <w:ilvl w:val="0"/>
        <w:numId w:val="1"/>
      </w:numPr>
      <w:jc w:val="right"/>
      <w:keepNext/>
      <w:outlineLvl w:val="0"/>
    </w:pPr>
    <w:rPr>
      <w:sz w:val="28"/>
      <w:lang w:val="en-US"/>
    </w:rPr>
  </w:style>
  <w:style w:type="paragraph" w:styleId="758">
    <w:name w:val="Heading 2"/>
    <w:basedOn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9">
    <w:name w:val="Heading 3"/>
    <w:basedOn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0">
    <w:name w:val="Heading 4"/>
    <w:basedOn w:val="7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1">
    <w:name w:val="Heading 5"/>
    <w:basedOn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3">
    <w:name w:val="Heading 7"/>
    <w:basedOn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4">
    <w:name w:val="Heading 8"/>
    <w:basedOn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5">
    <w:name w:val="Heading 9"/>
    <w:basedOn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67">
    <w:name w:val="Heading 2 Char"/>
    <w:uiPriority w:val="9"/>
    <w:qFormat/>
    <w:rPr>
      <w:rFonts w:ascii="Arial" w:hAnsi="Arial" w:eastAsia="Arial" w:cs="Arial"/>
      <w:sz w:val="34"/>
    </w:rPr>
  </w:style>
  <w:style w:type="character" w:styleId="768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69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0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7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2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73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74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75">
    <w:name w:val="Title Char"/>
    <w:uiPriority w:val="10"/>
    <w:qFormat/>
    <w:rPr>
      <w:sz w:val="48"/>
      <w:szCs w:val="48"/>
    </w:rPr>
  </w:style>
  <w:style w:type="character" w:styleId="776">
    <w:name w:val="Subtitle Char"/>
    <w:uiPriority w:val="11"/>
    <w:qFormat/>
    <w:rPr>
      <w:sz w:val="24"/>
      <w:szCs w:val="24"/>
    </w:rPr>
  </w:style>
  <w:style w:type="character" w:styleId="777">
    <w:name w:val="Quote Char"/>
    <w:uiPriority w:val="29"/>
    <w:qFormat/>
    <w:rPr>
      <w:i/>
    </w:rPr>
  </w:style>
  <w:style w:type="character" w:styleId="778">
    <w:name w:val="Intense Quote Char"/>
    <w:uiPriority w:val="30"/>
    <w:qFormat/>
    <w:rPr>
      <w:i/>
    </w:rPr>
  </w:style>
  <w:style w:type="character" w:styleId="779">
    <w:name w:val="Header Char"/>
    <w:uiPriority w:val="99"/>
    <w:qFormat/>
  </w:style>
  <w:style w:type="character" w:styleId="780">
    <w:name w:val="Footer Char"/>
    <w:uiPriority w:val="99"/>
    <w:qFormat/>
  </w:style>
  <w:style w:type="character" w:styleId="781">
    <w:name w:val="Caption Char"/>
    <w:uiPriority w:val="99"/>
    <w:qFormat/>
  </w:style>
  <w:style w:type="character" w:styleId="782">
    <w:name w:val="Hyperlink"/>
    <w:uiPriority w:val="99"/>
    <w:unhideWhenUsed/>
    <w:rPr>
      <w:color w:val="0563c1"/>
      <w:u w:val="single"/>
    </w:rPr>
  </w:style>
  <w:style w:type="character" w:styleId="783">
    <w:name w:val="Footnote Text Char"/>
    <w:uiPriority w:val="99"/>
    <w:qFormat/>
    <w:rPr>
      <w:sz w:val="18"/>
    </w:rPr>
  </w:style>
  <w:style w:type="character" w:styleId="784">
    <w:name w:val="Символ сноски"/>
    <w:uiPriority w:val="99"/>
    <w:unhideWhenUsed/>
    <w:qFormat/>
    <w:rPr>
      <w:vertAlign w:val="superscript"/>
    </w:rPr>
  </w:style>
  <w:style w:type="character" w:styleId="785">
    <w:name w:val="footnote reference"/>
    <w:rPr>
      <w:vertAlign w:val="superscript"/>
    </w:rPr>
  </w:style>
  <w:style w:type="character" w:styleId="786">
    <w:name w:val="Endnote Text Char"/>
    <w:uiPriority w:val="99"/>
    <w:qFormat/>
    <w:rPr>
      <w:sz w:val="20"/>
    </w:rPr>
  </w:style>
  <w:style w:type="character" w:styleId="78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88">
    <w:name w:val="endnote reference"/>
    <w:rPr>
      <w:vertAlign w:val="superscript"/>
    </w:rPr>
  </w:style>
  <w:style w:type="character" w:styleId="789">
    <w:name w:val="WW8Num1z0"/>
    <w:qFormat/>
  </w:style>
  <w:style w:type="character" w:styleId="790">
    <w:name w:val="WW8Num2z0"/>
    <w:qFormat/>
  </w:style>
  <w:style w:type="character" w:styleId="791">
    <w:name w:val="WW8Num3z0"/>
    <w:qFormat/>
  </w:style>
  <w:style w:type="character" w:styleId="792">
    <w:name w:val="WW8Num4z0"/>
    <w:qFormat/>
  </w:style>
  <w:style w:type="character" w:styleId="793">
    <w:name w:val="WW8Num5z0"/>
    <w:qFormat/>
  </w:style>
  <w:style w:type="character" w:styleId="794">
    <w:name w:val="WW8Num6z0"/>
    <w:qFormat/>
  </w:style>
  <w:style w:type="character" w:styleId="795">
    <w:name w:val="WW8Num7z0"/>
    <w:qFormat/>
  </w:style>
  <w:style w:type="character" w:styleId="796">
    <w:name w:val="Основной шрифт абзаца"/>
    <w:qFormat/>
  </w:style>
  <w:style w:type="character" w:styleId="797">
    <w:name w:val="Заголовок 1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79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99">
    <w:name w:val="Верх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800">
    <w:name w:val="Ниж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801">
    <w:name w:val="Знак примечания"/>
    <w:qFormat/>
    <w:rPr>
      <w:sz w:val="16"/>
      <w:szCs w:val="16"/>
    </w:rPr>
  </w:style>
  <w:style w:type="character" w:styleId="802">
    <w:name w:val="Текст примечания Знак"/>
    <w:qFormat/>
    <w:rPr>
      <w:rFonts w:ascii="Times New Roman" w:hAnsi="Times New Roman" w:eastAsia="Times New Roman" w:cs="Times New Roman"/>
    </w:rPr>
  </w:style>
  <w:style w:type="character" w:styleId="803">
    <w:name w:val="Strong"/>
    <w:qFormat/>
    <w:rPr>
      <w:b/>
      <w:bCs/>
    </w:rPr>
  </w:style>
  <w:style w:type="character" w:styleId="804" w:default="1">
    <w:name w:val="Default Paragraph Font"/>
    <w:uiPriority w:val="1"/>
    <w:semiHidden/>
    <w:unhideWhenUsed/>
    <w:qFormat/>
  </w:style>
  <w:style w:type="paragraph" w:styleId="805">
    <w:name w:val="Заголовок"/>
    <w:basedOn w:val="756"/>
    <w:next w:val="80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06">
    <w:name w:val="Body Text"/>
    <w:basedOn w:val="756"/>
    <w:pPr>
      <w:spacing w:before="0" w:after="140" w:line="276" w:lineRule="auto"/>
    </w:pPr>
  </w:style>
  <w:style w:type="paragraph" w:styleId="807">
    <w:name w:val="List"/>
    <w:basedOn w:val="806"/>
    <w:rPr>
      <w:rFonts w:cs="Droid Sans Devanagari"/>
    </w:rPr>
  </w:style>
  <w:style w:type="paragraph" w:styleId="808">
    <w:name w:val="Caption"/>
    <w:basedOn w:val="756"/>
    <w:uiPriority w:val="35"/>
    <w:semiHidden/>
    <w:unhideWhenUsed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09">
    <w:name w:val="Указатель"/>
    <w:basedOn w:val="756"/>
    <w:qFormat/>
    <w:pPr>
      <w:suppressLineNumbers/>
    </w:pPr>
    <w:rPr>
      <w:rFonts w:cs="Droid Sans Devanagari"/>
    </w:rPr>
  </w:style>
  <w:style w:type="paragraph" w:styleId="810">
    <w:name w:val="toc 5"/>
    <w:basedOn w:val="756"/>
    <w:next w:val="756"/>
    <w:uiPriority w:val="39"/>
    <w:unhideWhenUsed/>
    <w:pPr>
      <w:ind w:left="1134" w:right="0" w:firstLine="0"/>
      <w:spacing w:before="0" w:after="57"/>
    </w:pPr>
  </w:style>
  <w:style w:type="paragraph" w:styleId="811">
    <w:name w:val="toc 6"/>
    <w:basedOn w:val="756"/>
    <w:next w:val="756"/>
    <w:uiPriority w:val="39"/>
    <w:unhideWhenUsed/>
    <w:pPr>
      <w:ind w:left="1417" w:right="0" w:firstLine="0"/>
      <w:spacing w:before="0" w:after="57"/>
    </w:pPr>
  </w:style>
  <w:style w:type="paragraph" w:styleId="812">
    <w:name w:val="toc 7"/>
    <w:basedOn w:val="756"/>
    <w:next w:val="756"/>
    <w:uiPriority w:val="39"/>
    <w:unhideWhenUsed/>
    <w:pPr>
      <w:ind w:left="1701" w:right="0" w:firstLine="0"/>
      <w:spacing w:before="0" w:after="57"/>
    </w:pPr>
  </w:style>
  <w:style w:type="paragraph" w:styleId="813">
    <w:name w:val="toc 8"/>
    <w:basedOn w:val="756"/>
    <w:next w:val="756"/>
    <w:uiPriority w:val="39"/>
    <w:unhideWhenUsed/>
    <w:pPr>
      <w:ind w:left="1984" w:right="0" w:firstLine="0"/>
      <w:spacing w:before="0" w:after="57"/>
    </w:pPr>
  </w:style>
  <w:style w:type="paragraph" w:styleId="814">
    <w:name w:val="toc 9"/>
    <w:basedOn w:val="756"/>
    <w:next w:val="756"/>
    <w:uiPriority w:val="39"/>
    <w:unhideWhenUsed/>
    <w:pPr>
      <w:ind w:left="2268" w:right="0" w:firstLine="0"/>
      <w:spacing w:before="0" w:after="57"/>
    </w:pPr>
  </w:style>
  <w:style w:type="paragraph" w:styleId="815">
    <w:name w:val="List Paragraph"/>
    <w:basedOn w:val="756"/>
    <w:uiPriority w:val="34"/>
    <w:qFormat/>
    <w:pPr>
      <w:contextualSpacing/>
      <w:ind w:left="720" w:firstLine="0"/>
      <w:spacing w:before="0" w:after="0"/>
    </w:pPr>
  </w:style>
  <w:style w:type="paragraph" w:styleId="816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Droid Sans Devanagari"/>
      <w:color w:val="auto"/>
      <w:sz w:val="20"/>
      <w:szCs w:val="20"/>
      <w:lang w:val="ru-RU" w:eastAsia="zh-CN" w:bidi="hi-IN"/>
    </w:rPr>
  </w:style>
  <w:style w:type="paragraph" w:styleId="817">
    <w:name w:val="Title"/>
    <w:basedOn w:val="75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18">
    <w:name w:val="Subtitle"/>
    <w:basedOn w:val="756"/>
    <w:uiPriority w:val="11"/>
    <w:qFormat/>
    <w:pPr>
      <w:spacing w:before="200" w:after="200"/>
    </w:pPr>
    <w:rPr>
      <w:sz w:val="24"/>
      <w:szCs w:val="24"/>
    </w:rPr>
  </w:style>
  <w:style w:type="paragraph" w:styleId="819">
    <w:name w:val="Quote"/>
    <w:basedOn w:val="756"/>
    <w:uiPriority w:val="29"/>
    <w:qFormat/>
    <w:pPr>
      <w:ind w:left="720" w:right="720" w:firstLine="0"/>
    </w:pPr>
    <w:rPr>
      <w:i/>
    </w:rPr>
  </w:style>
  <w:style w:type="paragraph" w:styleId="820">
    <w:name w:val="Intense Quote"/>
    <w:basedOn w:val="756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21">
    <w:name w:val="Колонтитул"/>
    <w:basedOn w:val="756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22">
    <w:name w:val="Header"/>
    <w:basedOn w:val="756"/>
    <w:uiPriority w:val="99"/>
    <w:unhideWhenUsed/>
    <w:rPr>
      <w:lang w:val="en-US"/>
    </w:rPr>
  </w:style>
  <w:style w:type="paragraph" w:styleId="823">
    <w:name w:val="Footer"/>
    <w:basedOn w:val="756"/>
    <w:uiPriority w:val="99"/>
    <w:unhideWhenUsed/>
    <w:rPr>
      <w:lang w:val="en-US"/>
    </w:rPr>
  </w:style>
  <w:style w:type="paragraph" w:styleId="824">
    <w:name w:val="footnote text"/>
    <w:basedOn w:val="75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25">
    <w:name w:val="endnote text"/>
    <w:basedOn w:val="75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26">
    <w:name w:val="toc 1"/>
    <w:basedOn w:val="756"/>
    <w:uiPriority w:val="39"/>
    <w:unhideWhenUsed/>
    <w:pPr>
      <w:ind w:left="0" w:right="0" w:firstLine="0"/>
      <w:spacing w:before="0" w:after="57"/>
    </w:pPr>
  </w:style>
  <w:style w:type="paragraph" w:styleId="827">
    <w:name w:val="toc 2"/>
    <w:basedOn w:val="756"/>
    <w:uiPriority w:val="39"/>
    <w:unhideWhenUsed/>
    <w:pPr>
      <w:ind w:left="283" w:right="0" w:firstLine="0"/>
      <w:spacing w:before="0" w:after="57"/>
    </w:pPr>
  </w:style>
  <w:style w:type="paragraph" w:styleId="828">
    <w:name w:val="toc 3"/>
    <w:basedOn w:val="756"/>
    <w:uiPriority w:val="39"/>
    <w:unhideWhenUsed/>
    <w:pPr>
      <w:ind w:left="567" w:right="0" w:firstLine="0"/>
      <w:spacing w:before="0" w:after="57"/>
    </w:pPr>
  </w:style>
  <w:style w:type="paragraph" w:styleId="829">
    <w:name w:val="toc 4"/>
    <w:basedOn w:val="756"/>
    <w:uiPriority w:val="39"/>
    <w:unhideWhenUsed/>
    <w:pPr>
      <w:ind w:left="850" w:right="0" w:firstLine="0"/>
      <w:spacing w:before="0" w:after="57"/>
    </w:pPr>
  </w:style>
  <w:style w:type="paragraph" w:styleId="830">
    <w:name w:val="Index Heading"/>
    <w:basedOn w:val="805"/>
  </w:style>
  <w:style w:type="paragraph" w:styleId="831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ahoma" w:cs="Droid Sans Devanagari"/>
      <w:color w:val="auto"/>
      <w:sz w:val="20"/>
      <w:szCs w:val="20"/>
      <w:lang w:val="ru-RU" w:eastAsia="zh-CN" w:bidi="hi-IN"/>
    </w:rPr>
  </w:style>
  <w:style w:type="paragraph" w:styleId="832">
    <w:name w:val="table of figures"/>
    <w:basedOn w:val="756"/>
    <w:uiPriority w:val="99"/>
    <w:unhideWhenUsed/>
    <w:qFormat/>
    <w:pPr>
      <w:spacing w:before="0" w:after="0" w:afterAutospacing="0"/>
    </w:pPr>
  </w:style>
  <w:style w:type="paragraph" w:styleId="833">
    <w:name w:val="Абзац списка"/>
    <w:basedOn w:val="756"/>
    <w:qFormat/>
    <w:pPr>
      <w:contextualSpacing/>
      <w:ind w:left="720" w:right="0" w:firstLine="0"/>
      <w:spacing w:before="0" w:after="0"/>
    </w:pPr>
  </w:style>
  <w:style w:type="paragraph" w:styleId="834">
    <w:name w:val="Текст выноски"/>
    <w:basedOn w:val="756"/>
    <w:qFormat/>
    <w:rPr>
      <w:rFonts w:ascii="Tahoma" w:hAnsi="Tahoma" w:cs="Tahoma"/>
      <w:sz w:val="16"/>
      <w:szCs w:val="16"/>
      <w:lang w:val="en-US"/>
    </w:rPr>
  </w:style>
  <w:style w:type="paragraph" w:styleId="835">
    <w:name w:val="ConsPlusCell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8"/>
      <w:szCs w:val="28"/>
      <w:lang w:val="ru-RU" w:eastAsia="zh-CN" w:bidi="ar-SA"/>
    </w:rPr>
  </w:style>
  <w:style w:type="paragraph" w:styleId="836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837">
    <w:name w:val="Без интервала"/>
    <w:qFormat/>
    <w:pPr>
      <w:ind w:left="0" w:right="0" w:firstLine="720"/>
      <w:jc w:val="both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38">
    <w:name w:val="ConsPlusNormal"/>
    <w:qFormat/>
    <w:pPr>
      <w:jc w:val="left"/>
      <w:spacing w:before="0" w:after="0"/>
      <w:widowControl/>
    </w:pPr>
    <w:rPr>
      <w:rFonts w:ascii="Calibri" w:hAnsi="Calibri" w:eastAsia="Calibri" w:cs="Calibri"/>
      <w:b/>
      <w:bCs/>
      <w:color w:val="auto"/>
      <w:sz w:val="22"/>
      <w:szCs w:val="22"/>
      <w:lang w:val="ru-RU" w:eastAsia="zh-CN" w:bidi="ar-SA"/>
    </w:rPr>
  </w:style>
  <w:style w:type="paragraph" w:styleId="839">
    <w:name w:val="Текст примечания"/>
    <w:basedOn w:val="756"/>
    <w:qFormat/>
  </w:style>
  <w:style w:type="paragraph" w:styleId="840">
    <w:name w:val="Верхний колонтитул слева"/>
    <w:basedOn w:val="822"/>
    <w:qFormat/>
    <w:pPr>
      <w:tabs>
        <w:tab w:val="clear" w:pos="708" w:leader="none"/>
        <w:tab w:val="center" w:pos="4960" w:leader="none"/>
        <w:tab w:val="right" w:pos="9921" w:leader="none"/>
      </w:tabs>
      <w:suppressLineNumbers/>
    </w:pPr>
  </w:style>
  <w:style w:type="numbering" w:styleId="841" w:default="1">
    <w:name w:val="No List"/>
    <w:uiPriority w:val="99"/>
    <w:semiHidden/>
    <w:unhideWhenUsed/>
    <w:qFormat/>
  </w:style>
  <w:style w:type="table" w:styleId="842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45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46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7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9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1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72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73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74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75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6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7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84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91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06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07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08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09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10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11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12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33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40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9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9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9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9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9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9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9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9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9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9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9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961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62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3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64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65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66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67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4024.00.51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02.08.2010 N 80-п(ред. от 23.09.2024)"О Порядке предоставления денежных пособий лицам, ставшим инвалидами вследствие ранения, контузии или увечья, полученных при исполнении обязанностей военной службы, службы в войсках национальной гвардии Российской Федерации в ходе боевых действий, членам семей погибших участников боевых действий"</dc:title>
  <dc:subject/>
  <dc:creator>vki</dc:creator>
  <dc:description/>
  <dc:language>ru-RU</dc:language>
  <cp:revision>96</cp:revision>
  <dcterms:created xsi:type="dcterms:W3CDTF">2024-11-27T14:31:00Z</dcterms:created>
  <dcterms:modified xsi:type="dcterms:W3CDTF">2025-05-22T07:48:42Z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