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left="4956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left="4956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остановления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Правительства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left="4956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внесении изменений в постановление Правительства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2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Новоси</w:t>
      </w:r>
      <w:r>
        <w:rPr>
          <w:color w:val="000000"/>
          <w:sz w:val="28"/>
          <w:szCs w:val="28"/>
          <w:highlight w:val="white"/>
        </w:rPr>
        <w:t xml:space="preserve">бирской области от 24.09.2019 № </w:t>
      </w:r>
      <w:r>
        <w:rPr>
          <w:color w:val="000000"/>
          <w:sz w:val="28"/>
          <w:szCs w:val="28"/>
          <w:highlight w:val="white"/>
        </w:rPr>
        <w:t xml:space="preserve">384-п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2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2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  <w:highlight w:val="white"/>
        </w:rPr>
        <w:t xml:space="preserve"> п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о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с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т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а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н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о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в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л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я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е т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2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 Внести в постановление Правительства Новосибирской </w:t>
      </w:r>
      <w:r>
        <w:rPr>
          <w:sz w:val="28"/>
          <w:szCs w:val="28"/>
          <w:highlight w:val="white"/>
        </w:rPr>
        <w:t xml:space="preserve">области от 24.09.2019 № 384-п «О Порядке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Новосибирской области»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пункте 2 </w:t>
      </w:r>
      <w:r>
        <w:rPr>
          <w:sz w:val="28"/>
          <w:szCs w:val="28"/>
          <w:highlight w:val="white"/>
        </w:rPr>
        <w:t xml:space="preserve">слова «Нелюбова С.А.» заменить словами «Хальзова К.В.»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 в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Новосибирской области: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бзац второй пункта</w:t>
      </w:r>
      <w:r>
        <w:rPr>
          <w:sz w:val="28"/>
          <w:szCs w:val="28"/>
          <w:highlight w:val="white"/>
        </w:rPr>
        <w:t xml:space="preserve"> 3 </w:t>
      </w:r>
      <w:r>
        <w:rPr>
          <w:rFonts w:ascii="Times New Roman" w:hAnsi="Times New Roman"/>
          <w:sz w:val="28"/>
          <w:szCs w:val="28"/>
          <w:highlight w:val="white"/>
        </w:rPr>
        <w:t xml:space="preserve">после слов «Херсонской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» дополнить словами «и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</w:t>
      </w:r>
      <w:r>
        <w:rPr>
          <w:rFonts w:ascii="Times New Roman" w:hAnsi="Times New Roman"/>
          <w:sz w:val="28"/>
          <w:szCs w:val="28"/>
          <w:highlight w:val="white"/>
        </w:rPr>
        <w:t xml:space="preserve">рриториях субъектов Российской Федерации, прилегающих к районам проведения специальной военной операции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территориях Украины, Донецкой Народной Республики, Луганской Народной Республики, Запорожской области и Херсонской облас</w:t>
      </w:r>
      <w:r>
        <w:rPr>
          <w:rFonts w:ascii="Times New Roman" w:hAnsi="Times New Roman"/>
          <w:sz w:val="28"/>
          <w:szCs w:val="28"/>
          <w:highlight w:val="white"/>
        </w:rPr>
        <w:t xml:space="preserve">ти</w:t>
      </w:r>
      <w:bookmarkStart w:id="7" w:name="_GoBack"/>
      <w:r>
        <w:rPr>
          <w:highlight w:val="white"/>
        </w:rPr>
      </w:r>
      <w:bookmarkEnd w:id="7"/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/>
          <w:sz w:val="28"/>
          <w:szCs w:val="28"/>
          <w:highlight w:val="white"/>
        </w:rPr>
        <w:t xml:space="preserve">далее – специальная военная операция</w:t>
      </w:r>
      <w:r>
        <w:rPr>
          <w:rFonts w:ascii="Times New Roman" w:hAnsi="Times New Roman"/>
          <w:sz w:val="28"/>
          <w:szCs w:val="28"/>
          <w:highlight w:val="white"/>
        </w:rPr>
        <w:t xml:space="preserve">)»;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 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пункт 6 изложить в следующей редакции: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 При приобретении, строительстве жилых помещений органы местного самоуправления вправе в соответствии со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статьей 34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Федерального закона от 20.03.2025 № 33-ФЗ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дополнительно использовать собственные материальные ресурсы и финансовые средства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в)</w:t>
      </w:r>
      <w:r>
        <w:rPr>
          <w:rFonts w:ascii="Times New Roman" w:hAnsi="Times New Roman"/>
          <w:sz w:val="28"/>
          <w:szCs w:val="28"/>
          <w:highlight w:val="white"/>
        </w:rPr>
        <w:t xml:space="preserve"> пункт 7 дополнить абзацем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Сведения о жилых помещениях вносятся органами местного самоуправления в </w:t>
      </w:r>
      <w:r>
        <w:rPr>
          <w:rFonts w:ascii="Times New Roman" w:hAnsi="Times New Roman"/>
          <w:sz w:val="28"/>
          <w:szCs w:val="28"/>
          <w:highlight w:val="white"/>
        </w:rPr>
        <w:t xml:space="preserve">единую систему учета специализированного жилищного фонда</w:t>
      </w:r>
      <w:r>
        <w:rPr>
          <w:rFonts w:ascii="Times New Roman" w:hAnsi="Times New Roman"/>
          <w:sz w:val="28"/>
          <w:szCs w:val="28"/>
          <w:highlight w:val="white"/>
        </w:rPr>
        <w:t xml:space="preserve"> в течении пяти рабочих дней с даты включения такого жилого помещения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/>
          <w:sz w:val="28"/>
          <w:szCs w:val="28"/>
          <w:highlight w:val="white"/>
        </w:rPr>
        <w:t xml:space="preserve">специализированный жилищный фонд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г)</w:t>
      </w:r>
      <w:r>
        <w:rPr>
          <w:rFonts w:ascii="Times New Roman" w:hAnsi="Times New Roman"/>
          <w:sz w:val="28"/>
          <w:szCs w:val="28"/>
          <w:highlight w:val="white"/>
        </w:rPr>
        <w:t xml:space="preserve"> в абзаце третьем пункта 10 слова «с момента получения» заменить словами «с даты получения», слова «переданы гражданину» заменить словами «переданы гражданину или уполномоченному представителю».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пункт 11 дополнить абзацем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В случае поступления в орган местного самоуправления информации об участии гражданина в специальной военной операции срок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указанный в абзаце первом настоящего пункта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продлевается на шесть месяцев с даты получения уведомления.»</w:t>
      </w:r>
      <w:r>
        <w:rPr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72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приложени</w:t>
      </w:r>
      <w:r>
        <w:rPr>
          <w:sz w:val="28"/>
          <w:szCs w:val="28"/>
          <w:highlight w:val="white"/>
        </w:rPr>
        <w:t xml:space="preserve">и «</w:t>
      </w:r>
      <w:r>
        <w:rPr>
          <w:sz w:val="28"/>
          <w:szCs w:val="28"/>
          <w:highlight w:val="white"/>
        </w:rPr>
        <w:t xml:space="preserve">Требования к жилым помещениям, предоставляемым детям-сиротам и детям, оставшимся без попечения родителей, лицам из числа детей-сирот и детей, ост</w:t>
      </w:r>
      <w:r>
        <w:rPr>
          <w:sz w:val="28"/>
          <w:szCs w:val="28"/>
          <w:highlight w:val="white"/>
        </w:rPr>
        <w:t xml:space="preserve">авшихся без попечения родителей»</w:t>
      </w:r>
      <w:r>
        <w:rPr>
          <w:sz w:val="28"/>
          <w:szCs w:val="28"/>
          <w:highlight w:val="white"/>
        </w:rPr>
        <w:t xml:space="preserve"> к Порядку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Новосибирской области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п</w:t>
      </w:r>
      <w:r>
        <w:rPr>
          <w:sz w:val="28"/>
          <w:szCs w:val="28"/>
          <w:highlight w:val="white"/>
        </w:rPr>
        <w:t xml:space="preserve">ункт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20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2"/>
        <w:gridCol w:w="1814"/>
        <w:gridCol w:w="7605"/>
      </w:tblGrid>
      <w:tr>
        <w:trPr/>
        <w:tblPrEx/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jc w:val="center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Наружные ограждающие конструкции жилого дома, в котором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расположено жилое помещение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панельные (монолитные, металлокаркасные или каркасного типа с заполнением из газоблоков, шлакоблоков);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кирпичные;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деревянные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или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состоящие из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бревен, в том числе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из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оцилиндрованн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ого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, цельн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ого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, клеен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ого бруса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(при приобретении жилого помещения в одноэтажном жилом доме);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бетонные, железобетонные, керамзитобетонные, керамические, газобетонные блоки, обеспечивающие выполнение теплотехнических требований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instrText xml:space="preserve">HYPERLINK https://login.consultant.ru/link/?req=doc&amp;base=STR&amp;n=33661 </w:instrTex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fldChar w:fldCharType="separate"/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СП 50.13330.2024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fldChar w:fldCharType="end"/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при величине тепловой инерции не менее 4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</w:tc>
      </w:tr>
    </w:tbl>
    <w:p>
      <w:pPr>
        <w:pStyle w:val="872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ab/>
        <w:tab/>
        <w:tab/>
        <w:tab/>
        <w:tab/>
        <w:tab/>
        <w:tab/>
        <w:tab/>
        <w:tab/>
        <w:tab/>
        <w:tab/>
        <w:t xml:space="preserve">       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пункт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923" w:type="dxa"/>
        <w:tblInd w:w="20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2"/>
        <w:gridCol w:w="1814"/>
        <w:gridCol w:w="7747"/>
      </w:tblGrid>
      <w:tr>
        <w:trPr/>
        <w:tblPrEx/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Требования к жилому помещению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Жилое помещение пригодно для проживания и отсутствуют основания, по которым жилое помещение признается непригодным для проживания в соответствии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с </w:t>
            </w:r>
            <w:r>
              <w:rPr>
                <w:rFonts w:eastAsia="Calibri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eastAsia="Calibri"/>
                <w:sz w:val="28"/>
                <w:szCs w:val="28"/>
                <w:highlight w:val="white"/>
              </w:rPr>
              <w:instrText xml:space="preserve">HYPERLINK https://login.consultant.ru/link/?req=doc&amp;base=LAW&amp;n=489041 </w:instrText>
            </w:r>
            <w:r>
              <w:rPr>
                <w:rFonts w:eastAsia="Calibri"/>
                <w:sz w:val="28"/>
                <w:szCs w:val="28"/>
                <w:highlight w:val="white"/>
              </w:rPr>
              <w:fldChar w:fldCharType="separate"/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постановлением</w:t>
            </w:r>
            <w:r>
              <w:rPr>
                <w:rFonts w:eastAsia="Calibri"/>
                <w:sz w:val="28"/>
                <w:szCs w:val="28"/>
                <w:highlight w:val="white"/>
              </w:rPr>
              <w:fldChar w:fldCharType="end"/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Правительства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Российской Федерации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от 28.01.2006 № 47 «Об 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Ж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ило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помещени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е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соответств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ует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техническом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паспорт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жилого помещения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</w:tc>
      </w:tr>
    </w:tbl>
    <w:p>
      <w:pPr>
        <w:pStyle w:val="872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пункт 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20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3"/>
        <w:gridCol w:w="1814"/>
        <w:gridCol w:w="7744"/>
      </w:tblGrid>
      <w:tr>
        <w:trPr/>
        <w:tblPrEx/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jc w:val="center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5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Инженерно-техническое оснащение жилого помещения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</w:tc>
        <w:tc>
          <w:tcPr>
            <w:tcW w:w="7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Наличие: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водоотведения;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холодной воды;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электроснабжения;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централизованного отопления или индивидуального газового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отопления, а в случае отсутствия технической возможности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в населенном пункте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подведения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к жилому дому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централизованного отопления или индивидуального газового отопления –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наличие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электрического котла на отопление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или комбинированного котла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на отопление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, работающего на твердом топливе (дрова,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уголь) и электрической энергии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;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централизованного горячего водоснабжения или индивидуального газового или электрического котла на горячее водоснабжение;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приборов учета холодного, горячего водоснабжения (при наличии водоснабжения), электроэнергии.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В жилом помещении должны быть установлены: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двери в ванной комнате и туалете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,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двер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в совмещенн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ом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санузел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унитаз, ванна со смесителем или душевая кабина со смесителем или душевая зона со смесителем, умывальник со смесителем (допускается установка одного смесителя для ванны и умывальника в случае их близкого расположения), раковина и смеситель на кухне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кухне-нише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, розетки, выключатели, патроны, оконные блоки со стеклопакетами,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электрическая или газовая плита, 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отопительные приборы (устройства) в зависимости от вида отопления в жилом помещении.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Дверные и оконные системы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должны быть исправны и не разбиты, без видимых дефектов и повреждений. Все створки должны открываться, а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швы по периметру должны быть заполнены герметиком или уплотнителем. Все запорные устройства должны быть в рабочем состоянии и в наличии, а крепления надежно зафиксированы. На стеклах не должно быть трещин, стеклопакеты должны прочно фиксироваться в рамах.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Стены, полы, потолки в квартире, а также сантехника, расположенная в квартире, электропроводка, межкомнатные двери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(при их наличии)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двери в ванной комнате и туалете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(кухне-нише)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,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унитаз, ванна или душевая кабина, умывальник со смесителем, раковина и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смеситель на кухне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кухне-нише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розетки, выключатели, патроны, остекленные оконные рамы, обои, плинтусы, трубы и электрическая или газовая плита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,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элементы системы отопления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, в том числе 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отопительные приборы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 (устройства)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 в зависимости от в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ида отопления в жилом помещении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не должны требовать ремонта и быть в исправном состоянии.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Все имеющиеся места переустройства и (или) перепланировки жилого помещения должны быть согласованы и оформлены в установленном порядке.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В поселениях без централизованных инженерных сетей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в жилых помещениях, расположенных в одно- и двухэтажных зданиях, допускается отсутствие водопровода и канализированных уборных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</w:tc>
      </w:tr>
    </w:tbl>
    <w:p>
      <w:pPr>
        <w:pStyle w:val="872"/>
        <w:ind w:firstLine="708"/>
        <w:jc w:val="both"/>
        <w:rPr>
          <w:i w:val="0"/>
          <w:iCs w:val="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»;</w:t>
      </w:r>
      <w:r>
        <w:rPr>
          <w:i w:val="0"/>
          <w:iCs w:val="0"/>
          <w:sz w:val="28"/>
          <w:szCs w:val="28"/>
          <w:highlight w:val="white"/>
        </w:rPr>
      </w:r>
      <w:r>
        <w:rPr>
          <w:i w:val="0"/>
          <w:iCs w:val="0"/>
          <w:sz w:val="28"/>
          <w:szCs w:val="28"/>
          <w:highlight w:val="white"/>
        </w:rPr>
      </w:r>
    </w:p>
    <w:p>
      <w:pPr>
        <w:pStyle w:val="872"/>
        <w:ind w:firstLine="708"/>
        <w:jc w:val="both"/>
        <w:rPr>
          <w:i w:val="0"/>
          <w:iCs w:val="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  <w:t xml:space="preserve">г</w:t>
      </w:r>
      <w:r>
        <w:rPr>
          <w:i w:val="0"/>
          <w:iCs w:val="0"/>
          <w:sz w:val="28"/>
          <w:szCs w:val="28"/>
          <w:highlight w:val="white"/>
        </w:rPr>
        <w:t xml:space="preserve">) </w:t>
      </w:r>
      <w:r>
        <w:rPr>
          <w:i w:val="0"/>
          <w:iCs w:val="0"/>
          <w:sz w:val="28"/>
          <w:szCs w:val="28"/>
          <w:highlight w:val="white"/>
        </w:rPr>
        <w:t xml:space="preserve">пункт </w:t>
      </w:r>
      <w:r>
        <w:rPr>
          <w:i w:val="0"/>
          <w:iCs w:val="0"/>
          <w:sz w:val="28"/>
          <w:szCs w:val="28"/>
          <w:highlight w:val="white"/>
        </w:rPr>
        <w:t xml:space="preserve">6</w:t>
      </w:r>
      <w:r>
        <w:rPr>
          <w:i w:val="0"/>
          <w:iCs w:val="0"/>
          <w:sz w:val="28"/>
          <w:szCs w:val="28"/>
          <w:highlight w:val="white"/>
        </w:rPr>
        <w:t xml:space="preserve"> изложить в следующей редакции:</w:t>
      </w:r>
      <w:r>
        <w:rPr>
          <w:i w:val="0"/>
          <w:iCs w:val="0"/>
          <w:sz w:val="28"/>
          <w:szCs w:val="28"/>
          <w:highlight w:val="white"/>
        </w:rPr>
      </w:r>
      <w:r>
        <w:rPr>
          <w:i w:val="0"/>
          <w:iCs w:val="0"/>
          <w:sz w:val="28"/>
          <w:szCs w:val="28"/>
          <w:highlight w:val="white"/>
        </w:rPr>
      </w:r>
    </w:p>
    <w:p>
      <w:pPr>
        <w:pStyle w:val="872"/>
        <w:jc w:val="both"/>
        <w:rPr>
          <w:i w:val="0"/>
          <w:iCs w:val="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  <w:t xml:space="preserve">«</w:t>
      </w:r>
      <w:r>
        <w:rPr>
          <w:i w:val="0"/>
          <w:iCs w:val="0"/>
          <w:sz w:val="28"/>
          <w:szCs w:val="28"/>
          <w:highlight w:val="white"/>
        </w:rPr>
      </w:r>
      <w:r>
        <w:rPr>
          <w:i w:val="0"/>
          <w:iCs w:val="0"/>
          <w:sz w:val="28"/>
          <w:szCs w:val="28"/>
          <w:highlight w:val="white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"/>
        <w:gridCol w:w="1814"/>
        <w:gridCol w:w="7605"/>
      </w:tblGrid>
      <w:tr>
        <w:trPr/>
        <w:tblPrEx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jc w:val="center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6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Отделка жилого помещения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Комнаты, коридор: стены - обои и/или окрашены, и/или декоративная штукатурка; полы - линолеум и/или ламинат, и/или плитка ПВХ, и/или паркет, и/или дерево, и/или керамическая плитка; потолок - окрашен и/или натяжной.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Кухня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кухня-ниша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: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стены - обои и/или окрашены, и/или декоративная штукатурка, и/или керамическая плитка; полы - линолеум и/или ламинат, и/или плитка ПВХ, и/или паркет, и/или дерево, и/или керамическая плитка, и/или керамический гранит; потолок - окрашен и/или натяжной.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Ванная и туалетная комнаты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(</w:t>
            </w:r>
            <w:r>
              <w:rPr>
                <w:i w:val="0"/>
                <w:iCs w:val="0"/>
                <w:sz w:val="28"/>
                <w:szCs w:val="28"/>
                <w:highlight w:val="white"/>
              </w:rPr>
              <w:t xml:space="preserve">совмещенный санузел</w:t>
            </w:r>
            <w:r>
              <w:rPr>
                <w:i w:val="0"/>
                <w:iCs w:val="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: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 стены - окрашены, и/или керамическая плитка; полы - керамическая плитка, и/или керамический гранит; потолок - окрашен и/или натяжной. Для керамической плитки и керамического гранита межплиточные швы заполняются межплиточной затиркой.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  <w:p>
            <w:pPr>
              <w:pStyle w:val="872"/>
              <w:jc w:val="both"/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Входная дверь - металлическая 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  <w:t xml:space="preserve">с толщиной стали не менее 1,2 мм.</w:t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eastAsia="Calibri"/>
                <w:i w:val="0"/>
                <w:iCs w:val="0"/>
                <w:sz w:val="28"/>
                <w:szCs w:val="28"/>
                <w:highlight w:val="white"/>
              </w:rPr>
            </w:r>
          </w:p>
        </w:tc>
      </w:tr>
    </w:tbl>
    <w:p>
      <w:pPr>
        <w:pStyle w:val="872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ab/>
        <w:tab/>
        <w:tab/>
        <w:tab/>
        <w:tab/>
        <w:tab/>
        <w:tab/>
        <w:tab/>
        <w:tab/>
        <w:tab/>
        <w:tab/>
        <w:t xml:space="preserve">       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 Настоящее постановление вступает в силу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через 10 дней после дня его официального 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исключением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подпункта 3 пункта 1 настоящего постановления, который вступает в силу с 01.01.2027.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72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2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Губернатор Новосибирской области                              </w:t>
      </w:r>
      <w:r>
        <w:rPr>
          <w:rFonts w:eastAsia="Calibri"/>
          <w:sz w:val="28"/>
          <w:szCs w:val="28"/>
          <w:highlight w:val="white"/>
        </w:rPr>
        <w:t xml:space="preserve">                   </w:t>
      </w:r>
      <w:r>
        <w:rPr>
          <w:rFonts w:eastAsia="Calibri"/>
          <w:sz w:val="28"/>
          <w:szCs w:val="28"/>
          <w:highlight w:val="white"/>
        </w:rPr>
        <w:t xml:space="preserve">   А.А. Травников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78"/>
        <w:ind w:left="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2"/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2"/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2"/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2"/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2"/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Е.В. Бахарева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2"/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238 75 </w:t>
      </w:r>
      <w:r>
        <w:rPr>
          <w:color w:val="000000"/>
          <w:highlight w:val="white"/>
        </w:rPr>
        <w:t xml:space="preserve">10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color w:val="000000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567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</w:p>
  <w:p>
    <w:pPr>
      <w:pStyle w:val="883"/>
      <w:jc w:val="center"/>
      <w:rPr>
        <w:color w:val="ffffff"/>
      </w:rPr>
    </w:pPr>
    <w:r>
      <w:rPr>
        <w:color w:val="ffffff"/>
      </w:rPr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94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ind w:left="720"/>
      <w:contextualSpacing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spacing w:after="57"/>
      <w:ind w:left="0" w:right="0" w:firstLine="0"/>
    </w:pPr>
  </w:style>
  <w:style w:type="paragraph" w:styleId="862">
    <w:name w:val="toc 2"/>
    <w:basedOn w:val="872"/>
    <w:next w:val="872"/>
    <w:uiPriority w:val="39"/>
    <w:unhideWhenUsed/>
    <w:pPr>
      <w:spacing w:after="57"/>
      <w:ind w:left="283" w:right="0" w:firstLine="0"/>
    </w:pPr>
  </w:style>
  <w:style w:type="paragraph" w:styleId="863">
    <w:name w:val="toc 3"/>
    <w:basedOn w:val="872"/>
    <w:next w:val="872"/>
    <w:uiPriority w:val="39"/>
    <w:unhideWhenUsed/>
    <w:pPr>
      <w:spacing w:after="57"/>
      <w:ind w:left="567" w:right="0" w:firstLine="0"/>
    </w:pPr>
  </w:style>
  <w:style w:type="paragraph" w:styleId="864">
    <w:name w:val="toc 4"/>
    <w:basedOn w:val="872"/>
    <w:next w:val="872"/>
    <w:uiPriority w:val="39"/>
    <w:unhideWhenUsed/>
    <w:pPr>
      <w:spacing w:after="57"/>
      <w:ind w:left="850" w:right="0" w:firstLine="0"/>
    </w:pPr>
  </w:style>
  <w:style w:type="paragraph" w:styleId="865">
    <w:name w:val="toc 5"/>
    <w:basedOn w:val="872"/>
    <w:next w:val="872"/>
    <w:uiPriority w:val="39"/>
    <w:unhideWhenUsed/>
    <w:pPr>
      <w:spacing w:after="57"/>
      <w:ind w:left="1134" w:right="0" w:firstLine="0"/>
    </w:pPr>
  </w:style>
  <w:style w:type="paragraph" w:styleId="866">
    <w:name w:val="toc 6"/>
    <w:basedOn w:val="872"/>
    <w:next w:val="872"/>
    <w:uiPriority w:val="39"/>
    <w:unhideWhenUsed/>
    <w:pPr>
      <w:spacing w:after="57"/>
      <w:ind w:left="1417" w:right="0" w:firstLine="0"/>
    </w:pPr>
  </w:style>
  <w:style w:type="paragraph" w:styleId="867">
    <w:name w:val="toc 7"/>
    <w:basedOn w:val="872"/>
    <w:next w:val="872"/>
    <w:uiPriority w:val="39"/>
    <w:unhideWhenUsed/>
    <w:pPr>
      <w:spacing w:after="57"/>
      <w:ind w:left="1701" w:right="0" w:firstLine="0"/>
    </w:pPr>
  </w:style>
  <w:style w:type="paragraph" w:styleId="868">
    <w:name w:val="toc 8"/>
    <w:basedOn w:val="872"/>
    <w:next w:val="872"/>
    <w:uiPriority w:val="39"/>
    <w:unhideWhenUsed/>
    <w:pPr>
      <w:spacing w:after="57"/>
      <w:ind w:left="1984" w:right="0" w:firstLine="0"/>
    </w:pPr>
  </w:style>
  <w:style w:type="paragraph" w:styleId="869">
    <w:name w:val="toc 9"/>
    <w:basedOn w:val="872"/>
    <w:next w:val="872"/>
    <w:uiPriority w:val="39"/>
    <w:unhideWhenUsed/>
    <w:pPr>
      <w:spacing w:after="57"/>
      <w:ind w:left="2268" w:right="0" w:firstLine="0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rFonts w:ascii="Times New Roman" w:hAnsi="Times New Roman" w:eastAsia="Times New Roman"/>
      <w:lang w:val="ru-RU" w:eastAsia="ru-RU" w:bidi="ar-SA"/>
    </w:rPr>
  </w:style>
  <w:style w:type="paragraph" w:styleId="873">
    <w:name w:val="Заголовок 1"/>
    <w:basedOn w:val="872"/>
    <w:next w:val="872"/>
    <w:link w:val="877"/>
    <w:qFormat/>
    <w:pPr>
      <w:keepNext/>
      <w:jc w:val="right"/>
      <w:outlineLvl w:val="0"/>
    </w:pPr>
    <w:rPr>
      <w:sz w:val="28"/>
      <w:lang w:val="en-US"/>
    </w:rPr>
  </w:style>
  <w:style w:type="character" w:styleId="874">
    <w:name w:val="Основной шрифт абзаца"/>
    <w:next w:val="874"/>
    <w:link w:val="872"/>
    <w:uiPriority w:val="1"/>
    <w:unhideWhenUsed/>
  </w:style>
  <w:style w:type="table" w:styleId="875">
    <w:name w:val="Обычная таблица"/>
    <w:next w:val="875"/>
    <w:link w:val="872"/>
    <w:uiPriority w:val="99"/>
    <w:semiHidden/>
    <w:unhideWhenUsed/>
    <w:tblPr/>
  </w:style>
  <w:style w:type="numbering" w:styleId="876">
    <w:name w:val="Нет списка"/>
    <w:next w:val="876"/>
    <w:link w:val="872"/>
    <w:uiPriority w:val="99"/>
    <w:semiHidden/>
    <w:unhideWhenUsed/>
  </w:style>
  <w:style w:type="character" w:styleId="877">
    <w:name w:val="Заголовок 1 Знак"/>
    <w:next w:val="877"/>
    <w:link w:val="87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8">
    <w:name w:val="Абзац списка"/>
    <w:basedOn w:val="872"/>
    <w:next w:val="878"/>
    <w:link w:val="872"/>
    <w:uiPriority w:val="34"/>
    <w:qFormat/>
    <w:pPr>
      <w:ind w:left="720"/>
      <w:contextualSpacing/>
    </w:pPr>
  </w:style>
  <w:style w:type="paragraph" w:styleId="879">
    <w:name w:val="Текст выноски"/>
    <w:basedOn w:val="872"/>
    <w:next w:val="879"/>
    <w:link w:val="880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0">
    <w:name w:val="Текст выноски Знак"/>
    <w:next w:val="880"/>
    <w:link w:val="87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1">
    <w:name w:val="Сетка таблицы"/>
    <w:basedOn w:val="875"/>
    <w:next w:val="881"/>
    <w:link w:val="872"/>
    <w:uiPriority w:val="59"/>
    <w:pPr>
      <w:spacing w:after="0" w:line="240" w:lineRule="auto"/>
      <w:jc w:val="both"/>
    </w:pPr>
    <w:tblPr/>
  </w:style>
  <w:style w:type="paragraph" w:styleId="882">
    <w:name w:val="ConsPlusCell"/>
    <w:next w:val="882"/>
    <w:link w:val="872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83">
    <w:name w:val="Верхний колонтитул"/>
    <w:basedOn w:val="872"/>
    <w:next w:val="883"/>
    <w:link w:val="88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4">
    <w:name w:val="Верхний колонтитул Знак"/>
    <w:next w:val="884"/>
    <w:link w:val="88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5">
    <w:name w:val="Нижний колонтитул"/>
    <w:basedOn w:val="872"/>
    <w:next w:val="885"/>
    <w:link w:val="88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6">
    <w:name w:val="Нижний колонтитул Знак"/>
    <w:next w:val="886"/>
    <w:link w:val="88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7">
    <w:name w:val="ConsPlusNonformat"/>
    <w:next w:val="887"/>
    <w:link w:val="87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8">
    <w:name w:val="Без интервала"/>
    <w:next w:val="888"/>
    <w:link w:val="872"/>
    <w:uiPriority w:val="1"/>
    <w:qFormat/>
    <w:pPr>
      <w:widowControl w:val="off"/>
      <w:ind w:firstLine="720"/>
      <w:jc w:val="both"/>
    </w:pPr>
    <w:rPr>
      <w:rFonts w:ascii="Arial" w:hAnsi="Arial" w:eastAsia="Times New Roman" w:cs="Arial"/>
      <w:lang w:val="ru-RU" w:eastAsia="ru-RU" w:bidi="ar-SA"/>
    </w:rPr>
  </w:style>
  <w:style w:type="paragraph" w:styleId="889">
    <w:name w:val="ConsPlusNormal"/>
    <w:next w:val="889"/>
    <w:link w:val="872"/>
    <w:rPr>
      <w:rFonts w:cs="Calibri"/>
      <w:b/>
      <w:bCs/>
      <w:sz w:val="22"/>
      <w:szCs w:val="22"/>
      <w:lang w:val="ru-RU" w:eastAsia="ru-RU" w:bidi="ar-SA"/>
    </w:rPr>
  </w:style>
  <w:style w:type="character" w:styleId="890">
    <w:name w:val="Знак примечания"/>
    <w:next w:val="890"/>
    <w:link w:val="872"/>
    <w:uiPriority w:val="99"/>
    <w:semiHidden/>
    <w:unhideWhenUsed/>
    <w:rPr>
      <w:sz w:val="16"/>
      <w:szCs w:val="16"/>
    </w:rPr>
  </w:style>
  <w:style w:type="paragraph" w:styleId="891">
    <w:name w:val="Текст примечания"/>
    <w:basedOn w:val="872"/>
    <w:next w:val="891"/>
    <w:link w:val="892"/>
    <w:uiPriority w:val="99"/>
    <w:semiHidden/>
    <w:unhideWhenUsed/>
  </w:style>
  <w:style w:type="character" w:styleId="892">
    <w:name w:val="Текст примечания Знак"/>
    <w:next w:val="892"/>
    <w:link w:val="891"/>
    <w:uiPriority w:val="99"/>
    <w:semiHidden/>
    <w:rPr>
      <w:rFonts w:ascii="Times New Roman" w:hAnsi="Times New Roman" w:eastAsia="Times New Roman"/>
    </w:rPr>
  </w:style>
  <w:style w:type="character" w:styleId="893">
    <w:name w:val="Строгий"/>
    <w:next w:val="893"/>
    <w:link w:val="872"/>
    <w:uiPriority w:val="22"/>
    <w:qFormat/>
    <w:rPr>
      <w:b/>
      <w:bCs/>
    </w:rPr>
  </w:style>
  <w:style w:type="character" w:styleId="894">
    <w:name w:val="Гиперссылка"/>
    <w:next w:val="894"/>
    <w:link w:val="872"/>
    <w:uiPriority w:val="99"/>
    <w:unhideWhenUsed/>
    <w:rPr>
      <w:color w:val="0563c1"/>
      <w:u w:val="single"/>
    </w:rPr>
  </w:style>
  <w:style w:type="paragraph" w:styleId="895">
    <w:name w:val="Тема примечания"/>
    <w:basedOn w:val="891"/>
    <w:next w:val="891"/>
    <w:link w:val="896"/>
    <w:uiPriority w:val="99"/>
    <w:semiHidden/>
    <w:unhideWhenUsed/>
    <w:rPr>
      <w:b/>
      <w:bCs/>
    </w:rPr>
  </w:style>
  <w:style w:type="character" w:styleId="896">
    <w:name w:val="Тема примечания Знак"/>
    <w:next w:val="896"/>
    <w:link w:val="895"/>
    <w:uiPriority w:val="99"/>
    <w:semiHidden/>
    <w:rPr>
      <w:rFonts w:ascii="Times New Roman" w:hAnsi="Times New Roman" w:eastAsia="Times New Roman"/>
      <w:b/>
      <w:bCs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revision>94</cp:revision>
  <dcterms:created xsi:type="dcterms:W3CDTF">2022-06-20T08:52:00Z</dcterms:created>
  <dcterms:modified xsi:type="dcterms:W3CDTF">2026-06-11T08:34:09Z</dcterms:modified>
  <cp:version>983040</cp:version>
</cp:coreProperties>
</file>