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5"/>
        <w:ind w:left="4956" w:right="0" w:firstLine="128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ind w:left="4956" w:right="0" w:firstLine="128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ind w:left="4956" w:right="0" w:firstLine="128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ind w:left="0"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ind w:left="0"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ind w:left="0"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ind w:left="0"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ind w:left="0"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ind w:left="0"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ind w:left="0" w:right="-144" w:firstLine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ind w:left="0" w:right="-144" w:firstLine="4820"/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jc w:val="center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 внесении изменен</w:t>
      </w:r>
      <w:r>
        <w:rPr>
          <w:color w:val="000000"/>
          <w:sz w:val="28"/>
          <w:szCs w:val="28"/>
          <w:highlight w:val="white"/>
        </w:rPr>
        <w:t xml:space="preserve">и</w:t>
      </w:r>
      <w:r>
        <w:rPr>
          <w:color w:val="000000"/>
          <w:sz w:val="28"/>
          <w:szCs w:val="28"/>
          <w:highlight w:val="white"/>
        </w:rPr>
        <w:t xml:space="preserve">я в </w:t>
      </w:r>
      <w:r>
        <w:rPr>
          <w:sz w:val="28"/>
          <w:szCs w:val="28"/>
          <w:highlight w:val="white"/>
        </w:rPr>
        <w:t xml:space="preserve">постановление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705"/>
        <w:jc w:val="center"/>
        <w:rPr>
          <w:color w:val="000000"/>
          <w:sz w:val="22"/>
          <w:szCs w:val="22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Правительства Новосибирской области от 27.08.2024 № 399-п</w:t>
      </w:r>
      <w:r>
        <w:rPr>
          <w:color w:val="000000"/>
          <w:sz w:val="22"/>
          <w:szCs w:val="22"/>
          <w:highlight w:val="white"/>
        </w:rPr>
      </w:r>
      <w:r>
        <w:rPr>
          <w:color w:val="000000"/>
          <w:sz w:val="22"/>
          <w:szCs w:val="22"/>
          <w:highlight w:val="white"/>
        </w:rPr>
      </w:r>
    </w:p>
    <w:p>
      <w:pPr>
        <w:pStyle w:val="70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0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05"/>
        <w:ind w:left="0" w:righ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Новосибирской области</w:t>
      </w:r>
      <w:r>
        <w:rPr>
          <w:b/>
          <w:color w:val="000000"/>
          <w:sz w:val="28"/>
          <w:szCs w:val="28"/>
        </w:rPr>
        <w:t xml:space="preserve"> п о с т а н о в л я е т</w:t>
      </w:r>
      <w:r>
        <w:rPr>
          <w:color w:val="00000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ind w:left="0" w:right="0" w:firstLine="708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rFonts w:eastAsia="Calibri"/>
          <w:sz w:val="28"/>
          <w:szCs w:val="28"/>
        </w:rPr>
        <w:t xml:space="preserve">постановление Правительства Новосибирской области от 27.08.2024 № 399-п «О Порядке выдачи удостоверения, по</w:t>
      </w:r>
      <w:r>
        <w:rPr>
          <w:rFonts w:eastAsia="Calibri"/>
          <w:sz w:val="28"/>
          <w:szCs w:val="28"/>
        </w:rPr>
        <w:t xml:space="preserve">дтверждающего статус многодетной семьи в Российской Федерации, и признании утратившими силу постановления Правительства Новосибирской области от 27.01.2012 № 41-п и положений отдельных постановлений Правительства Новосибирской области» следующее изменение: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pStyle w:val="705"/>
        <w:ind w:left="0" w:right="0"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абзац второй пункта 2 Порядка выдачи удостоверения, подтверждающего статус многодетной семьи в Российской Федерации, </w:t>
      </w:r>
      <w:r>
        <w:rPr>
          <w:rFonts w:eastAsia="Calibri"/>
          <w:sz w:val="28"/>
          <w:szCs w:val="28"/>
        </w:rPr>
        <w:t xml:space="preserve">изложить в следующей редакции:</w:t>
      </w:r>
      <w:r>
        <w:rPr>
          <w:rFonts w:eastAsia="Calibri"/>
          <w:color w:val="000000"/>
          <w:sz w:val="28"/>
          <w:szCs w:val="28"/>
        </w:rPr>
      </w:r>
      <w:r>
        <w:rPr>
          <w:rFonts w:eastAsia="Calibri"/>
          <w:color w:val="000000"/>
          <w:sz w:val="28"/>
          <w:szCs w:val="28"/>
        </w:rPr>
      </w:r>
    </w:p>
    <w:p>
      <w:pPr>
        <w:ind w:left="0" w:right="0" w:firstLine="708"/>
        <w:jc w:val="both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  <w:t xml:space="preserve">«</w:t>
      </w:r>
      <w:r>
        <w:rPr>
          <w:rFonts w:eastAsia="Calibri"/>
          <w:sz w:val="28"/>
          <w:szCs w:val="28"/>
          <w:highlight w:val="none"/>
        </w:rPr>
        <w:t xml:space="preserve">Подтверждение статуса многодетной семьи в Российской Федерации по месту требования осуществляется </w:t>
      </w:r>
      <w:r>
        <w:rPr>
          <w:rFonts w:eastAsia="Calibri"/>
          <w:sz w:val="28"/>
          <w:szCs w:val="28"/>
          <w:highlight w:val="none"/>
        </w:rPr>
        <w:t xml:space="preserve">путем </w:t>
      </w:r>
      <w:r>
        <w:rPr>
          <w:rFonts w:eastAsia="Calibri"/>
          <w:sz w:val="28"/>
          <w:szCs w:val="28"/>
          <w:highlight w:val="none"/>
        </w:rPr>
        <w:t xml:space="preserve">предъявления удостоверения на бумажном носителе</w:t>
      </w:r>
      <w:r>
        <w:rPr>
          <w:rFonts w:eastAsia="Calibri"/>
          <w:sz w:val="28"/>
          <w:szCs w:val="28"/>
          <w:highlight w:val="none"/>
        </w:rPr>
        <w:t xml:space="preserve"> либо посредством </w:t>
      </w:r>
      <w:r>
        <w:rPr>
          <w:sz w:val="28"/>
          <w:szCs w:val="28"/>
        </w:rPr>
        <w:t xml:space="preserve">многофункционального сервиса обмена информацией, </w:t>
      </w:r>
      <w:r>
        <w:rPr>
          <w:rFonts w:eastAsia="Calibri"/>
          <w:sz w:val="28"/>
          <w:szCs w:val="28"/>
          <w:highlight w:val="none"/>
        </w:rPr>
        <w:t xml:space="preserve">либо в порядке, утвержденном приказом Министерства труда и социальной защиты Российской Федерации от 27.09</w:t>
      </w:r>
      <w:r>
        <w:rPr>
          <w:rFonts w:eastAsia="Calibri"/>
          <w:sz w:val="28"/>
          <w:szCs w:val="28"/>
          <w:highlight w:val="none"/>
        </w:rPr>
        <w:t xml:space="preserve">.2024 № 513 «Об утверждении порядка подтверждения статуса многодетной семьи в Российской Федерации по месту требования с использованием сведений, предусмотренных пунктом 3 распоряжения Правительства Российской Федерации от 29 июня 2024 г. № 1725-р».</w:t>
      </w:r>
      <w:r>
        <w:rPr>
          <w:sz w:val="28"/>
          <w:szCs w:val="28"/>
        </w:rPr>
        <w:t xml:space="preserve">».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pStyle w:val="705"/>
        <w:ind w:left="0" w:right="0" w:firstLine="708"/>
        <w:jc w:val="both"/>
        <w:rPr>
          <w:sz w:val="28"/>
          <w:szCs w:val="28"/>
          <w:highlight w:val="none"/>
          <w:shd w:val="clear" w:color="auto" w:fill="ffdead"/>
        </w:rPr>
      </w:pPr>
      <w:r>
        <w:rPr>
          <w:sz w:val="28"/>
          <w:szCs w:val="28"/>
          <w:shd w:val="clear" w:color="auto" w:fill="ffdead"/>
        </w:rPr>
      </w:r>
      <w:r>
        <w:rPr>
          <w:sz w:val="28"/>
          <w:szCs w:val="28"/>
          <w:highlight w:val="none"/>
          <w:shd w:val="clear" w:color="auto" w:fill="ffdead"/>
        </w:rPr>
      </w:r>
      <w:r>
        <w:rPr>
          <w:sz w:val="28"/>
          <w:szCs w:val="28"/>
          <w:highlight w:val="none"/>
          <w:shd w:val="clear" w:color="auto" w:fill="ffdead"/>
        </w:rPr>
      </w:r>
    </w:p>
    <w:p>
      <w:pPr>
        <w:pStyle w:val="705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ind w:left="0" w:right="0" w:firstLine="708"/>
        <w:jc w:val="both"/>
        <w:rPr>
          <w:rFonts w:eastAsia="Calibri"/>
          <w:color w:val="000000"/>
          <w:sz w:val="28"/>
          <w:szCs w:val="28"/>
          <w:highlight w:val="yellow"/>
        </w:rPr>
      </w:pPr>
      <w:r>
        <w:rPr>
          <w:rFonts w:eastAsia="Calibri"/>
          <w:color w:val="000000"/>
          <w:sz w:val="28"/>
          <w:szCs w:val="28"/>
          <w:highlight w:val="yellow"/>
        </w:rPr>
      </w:r>
      <w:r>
        <w:rPr>
          <w:rFonts w:eastAsia="Calibri"/>
          <w:color w:val="000000"/>
          <w:sz w:val="28"/>
          <w:szCs w:val="28"/>
          <w:highlight w:val="yellow"/>
        </w:rPr>
      </w:r>
      <w:r>
        <w:rPr>
          <w:rFonts w:eastAsia="Calibri"/>
          <w:color w:val="000000"/>
          <w:sz w:val="28"/>
          <w:szCs w:val="28"/>
          <w:highlight w:val="yellow"/>
        </w:rPr>
      </w:r>
    </w:p>
    <w:p>
      <w:pPr>
        <w:pStyle w:val="705"/>
        <w:jc w:val="both"/>
        <w:rPr>
          <w:rFonts w:eastAsia="Calibri"/>
          <w:sz w:val="22"/>
          <w:szCs w:val="22"/>
        </w:rPr>
      </w:pPr>
      <w:r>
        <w:rPr>
          <w:rFonts w:eastAsia="Calibri"/>
          <w:sz w:val="28"/>
          <w:szCs w:val="28"/>
        </w:rPr>
        <w:t xml:space="preserve">Губернатор Новосибирской области                                                    А.А. Травников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pStyle w:val="705"/>
        <w:ind w:left="0" w:right="-1" w:firstLine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05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ind w:left="0" w:right="-1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5"/>
        <w:widowControl w:val="off"/>
        <w:rPr>
          <w:color w:val="000000"/>
        </w:rPr>
      </w:pPr>
      <w:r>
        <w:rPr>
          <w:color w:val="000000"/>
        </w:rPr>
        <w:t xml:space="preserve">Е.В. Бахарева</w:t>
      </w:r>
      <w:r>
        <w:rPr>
          <w:color w:val="000000"/>
        </w:rPr>
      </w:r>
      <w:r>
        <w:rPr>
          <w:color w:val="000000"/>
        </w:rPr>
      </w:r>
    </w:p>
    <w:p>
      <w:pPr>
        <w:pStyle w:val="705"/>
        <w:widowControl w:val="off"/>
        <w:rPr>
          <w:color w:val="000000"/>
          <w:highlight w:val="none"/>
        </w:rPr>
      </w:pPr>
      <w:r>
        <w:rPr>
          <w:color w:val="000000"/>
        </w:rPr>
        <w:t xml:space="preserve">238 75 10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705"/>
        <w:widowControl w:val="off"/>
        <w:rPr>
          <w:color w:val="000000"/>
          <w:highlight w:val="none"/>
        </w:rPr>
      </w:pPr>
      <w:r>
        <w:rPr>
          <w:color w:val="000000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sectPr>
      <w:headerReference w:type="default" r:id="rId9"/>
      <w:headerReference w:type="even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766" w:right="567" w:bottom="1134" w:left="1418" w:header="709" w:footer="709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Liberation Sans">
    <w:panose1 w:val="020B0604020202020204"/>
  </w:font>
  <w:font w:name="Arial">
    <w:panose1 w:val="020B0604020202020204"/>
  </w:font>
  <w:font w:name="Tahoma">
    <w:panose1 w:val="020B0604030504040204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contextualSpacing/>
      <w:jc w:val="both"/>
      <w:spacing w:before="0" w:after="0" w:line="240" w:lineRule="auto"/>
      <w:rPr>
        <w:rFonts w:ascii="Times New Roman" w:hAnsi="Times New Roman"/>
        <w:b/>
        <w:bCs/>
        <w:sz w:val="16"/>
        <w:szCs w:val="16"/>
      </w:rPr>
    </w:pPr>
    <w:r>
      <w:rPr>
        <w:b/>
        <w:bCs/>
        <w:sz w:val="16"/>
        <w:szCs w:val="16"/>
      </w:rPr>
    </w:r>
    <w:r>
      <w:rPr>
        <w:rFonts w:ascii="Times New Roman" w:hAnsi="Times New Roman"/>
        <w:b/>
        <w:bCs/>
        <w:sz w:val="16"/>
        <w:szCs w:val="16"/>
      </w:rPr>
    </w:r>
    <w:r>
      <w:rPr>
        <w:rFonts w:ascii="Times New Roman" w:hAnsi="Times New Roman"/>
        <w:b/>
        <w:bCs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jc w:val="both"/>
      <w:rPr>
        <w:rFonts w:eastAsia="Calibri"/>
        <w:color w:val="000000"/>
        <w:sz w:val="16"/>
        <w:szCs w:val="16"/>
        <w:highlight w:val="none"/>
      </w:rPr>
    </w:pPr>
    <w:r>
      <w:rPr>
        <w:rFonts w:eastAsia="Calibri"/>
        <w:color w:val="000000"/>
        <w:sz w:val="16"/>
        <w:szCs w:val="16"/>
      </w:rPr>
    </w:r>
    <w:r>
      <w:rPr>
        <w:rFonts w:eastAsia="Calibri"/>
        <w:color w:val="000000"/>
        <w:sz w:val="16"/>
        <w:szCs w:val="16"/>
        <w:highlight w:val="none"/>
      </w:rPr>
    </w:r>
    <w:r>
      <w:rPr>
        <w:rFonts w:eastAsia="Calibri"/>
        <w:color w:val="000000"/>
        <w:sz w:val="16"/>
        <w:szCs w:val="16"/>
        <w:highlight w:val="no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0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Droid Sans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701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702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703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704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705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06">
    <w:name w:val="Heading 1"/>
    <w:basedOn w:val="705"/>
    <w:uiPriority w:val="9"/>
    <w:qFormat/>
    <w:pPr>
      <w:numPr>
        <w:ilvl w:val="0"/>
        <w:numId w:val="1"/>
      </w:numPr>
      <w:jc w:val="right"/>
      <w:keepNext/>
      <w:outlineLvl w:val="0"/>
    </w:pPr>
    <w:rPr>
      <w:sz w:val="28"/>
      <w:lang w:val="en-US"/>
    </w:rPr>
  </w:style>
  <w:style w:type="paragraph" w:styleId="707">
    <w:name w:val="Heading 2"/>
    <w:basedOn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8">
    <w:name w:val="Heading 3"/>
    <w:basedOn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9">
    <w:name w:val="Heading 4"/>
    <w:basedOn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16">
    <w:name w:val="Heading 2 Char"/>
    <w:uiPriority w:val="9"/>
    <w:qFormat/>
    <w:rPr>
      <w:rFonts w:ascii="Arial" w:hAnsi="Arial" w:eastAsia="Arial" w:cs="Arial"/>
      <w:sz w:val="34"/>
    </w:rPr>
  </w:style>
  <w:style w:type="character" w:styleId="717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18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9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0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3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4">
    <w:name w:val="Title Char"/>
    <w:uiPriority w:val="10"/>
    <w:qFormat/>
    <w:rPr>
      <w:sz w:val="48"/>
      <w:szCs w:val="48"/>
    </w:rPr>
  </w:style>
  <w:style w:type="character" w:styleId="725">
    <w:name w:val="Subtitle Char"/>
    <w:uiPriority w:val="11"/>
    <w:qFormat/>
    <w:rPr>
      <w:sz w:val="24"/>
      <w:szCs w:val="24"/>
    </w:rPr>
  </w:style>
  <w:style w:type="character" w:styleId="726">
    <w:name w:val="Quote Char"/>
    <w:uiPriority w:val="29"/>
    <w:qFormat/>
    <w:rPr>
      <w:i/>
    </w:rPr>
  </w:style>
  <w:style w:type="character" w:styleId="727">
    <w:name w:val="Intense Quote Char"/>
    <w:uiPriority w:val="30"/>
    <w:qFormat/>
    <w:rPr>
      <w:i/>
    </w:rPr>
  </w:style>
  <w:style w:type="character" w:styleId="728">
    <w:name w:val="Header Char"/>
    <w:uiPriority w:val="99"/>
    <w:qFormat/>
  </w:style>
  <w:style w:type="character" w:styleId="729">
    <w:name w:val="Footer Char"/>
    <w:uiPriority w:val="99"/>
    <w:qFormat/>
  </w:style>
  <w:style w:type="character" w:styleId="730">
    <w:name w:val="Caption Char"/>
    <w:uiPriority w:val="99"/>
    <w:qFormat/>
  </w:style>
  <w:style w:type="character" w:styleId="731">
    <w:name w:val="Hyperlink"/>
    <w:uiPriority w:val="99"/>
    <w:unhideWhenUsed/>
    <w:rPr>
      <w:color w:val="0563c1"/>
      <w:u w:val="single"/>
    </w:rPr>
  </w:style>
  <w:style w:type="character" w:styleId="732">
    <w:name w:val="Footnote Text Char"/>
    <w:uiPriority w:val="99"/>
    <w:qFormat/>
    <w:rPr>
      <w:sz w:val="18"/>
    </w:rPr>
  </w:style>
  <w:style w:type="character" w:styleId="733">
    <w:name w:val="Символ сноски"/>
    <w:uiPriority w:val="99"/>
    <w:unhideWhenUsed/>
    <w:qFormat/>
    <w:rPr>
      <w:vertAlign w:val="superscript"/>
    </w:rPr>
  </w:style>
  <w:style w:type="character" w:styleId="734">
    <w:name w:val="footnote reference"/>
    <w:rPr>
      <w:vertAlign w:val="superscript"/>
    </w:rPr>
  </w:style>
  <w:style w:type="character" w:styleId="735">
    <w:name w:val="Endnote Text Char"/>
    <w:uiPriority w:val="99"/>
    <w:qFormat/>
    <w:rPr>
      <w:sz w:val="20"/>
    </w:rPr>
  </w:style>
  <w:style w:type="character" w:styleId="73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37">
    <w:name w:val="endnote reference"/>
    <w:rPr>
      <w:vertAlign w:val="superscript"/>
    </w:rPr>
  </w:style>
  <w:style w:type="character" w:styleId="738">
    <w:name w:val="WW8Num1z0"/>
    <w:qFormat/>
  </w:style>
  <w:style w:type="character" w:styleId="739">
    <w:name w:val="WW8Num2z0"/>
    <w:qFormat/>
  </w:style>
  <w:style w:type="character" w:styleId="740">
    <w:name w:val="WW8Num3z0"/>
    <w:qFormat/>
  </w:style>
  <w:style w:type="character" w:styleId="741">
    <w:name w:val="WW8Num4z0"/>
    <w:qFormat/>
  </w:style>
  <w:style w:type="character" w:styleId="742">
    <w:name w:val="WW8Num5z0"/>
    <w:qFormat/>
  </w:style>
  <w:style w:type="character" w:styleId="743">
    <w:name w:val="WW8Num6z0"/>
    <w:qFormat/>
  </w:style>
  <w:style w:type="character" w:styleId="744">
    <w:name w:val="WW8Num7z0"/>
    <w:qFormat/>
  </w:style>
  <w:style w:type="character" w:styleId="745">
    <w:name w:val="Основной шрифт абзаца"/>
    <w:qFormat/>
  </w:style>
  <w:style w:type="character" w:styleId="746">
    <w:name w:val="Заголовок 1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74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48">
    <w:name w:val="Верхний колонтитул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749">
    <w:name w:val="Нижний колонтитул Знак"/>
    <w:qFormat/>
    <w:rPr>
      <w:rFonts w:ascii="Times New Roman" w:hAnsi="Times New Roman" w:eastAsia="Times New Roman" w:cs="Times New Roman"/>
      <w:sz w:val="20"/>
      <w:szCs w:val="20"/>
    </w:rPr>
  </w:style>
  <w:style w:type="character" w:styleId="750">
    <w:name w:val="Знак примечания"/>
    <w:qFormat/>
    <w:rPr>
      <w:sz w:val="16"/>
      <w:szCs w:val="16"/>
    </w:rPr>
  </w:style>
  <w:style w:type="character" w:styleId="751">
    <w:name w:val="Текст примечания Знак"/>
    <w:qFormat/>
    <w:rPr>
      <w:rFonts w:ascii="Times New Roman" w:hAnsi="Times New Roman" w:eastAsia="Times New Roman" w:cs="Times New Roman"/>
    </w:rPr>
  </w:style>
  <w:style w:type="character" w:styleId="752">
    <w:name w:val="Strong"/>
    <w:qFormat/>
    <w:rPr>
      <w:b/>
      <w:bCs/>
    </w:rPr>
  </w:style>
  <w:style w:type="character" w:styleId="753" w:default="1">
    <w:name w:val="Default Paragraph Font"/>
    <w:uiPriority w:val="1"/>
    <w:semiHidden/>
    <w:unhideWhenUsed/>
    <w:qFormat/>
  </w:style>
  <w:style w:type="paragraph" w:styleId="754">
    <w:name w:val="Заголовок"/>
    <w:basedOn w:val="705"/>
    <w:next w:val="755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55">
    <w:name w:val="Body Text"/>
    <w:basedOn w:val="705"/>
    <w:pPr>
      <w:spacing w:before="0" w:after="140" w:line="276" w:lineRule="auto"/>
    </w:pPr>
  </w:style>
  <w:style w:type="paragraph" w:styleId="756">
    <w:name w:val="List"/>
    <w:basedOn w:val="755"/>
    <w:rPr>
      <w:rFonts w:cs="Droid Sans Devanagari"/>
    </w:rPr>
  </w:style>
  <w:style w:type="paragraph" w:styleId="757">
    <w:name w:val="Caption"/>
    <w:basedOn w:val="705"/>
    <w:uiPriority w:val="35"/>
    <w:semiHidden/>
    <w:unhideWhenUsed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758">
    <w:name w:val="Указатель"/>
    <w:basedOn w:val="705"/>
    <w:qFormat/>
    <w:pPr>
      <w:suppressLineNumbers/>
    </w:pPr>
    <w:rPr>
      <w:rFonts w:cs="Droid Sans Devanagari"/>
    </w:rPr>
  </w:style>
  <w:style w:type="paragraph" w:styleId="759">
    <w:name w:val="List Paragraph"/>
    <w:basedOn w:val="705"/>
    <w:uiPriority w:val="34"/>
    <w:qFormat/>
    <w:pPr>
      <w:contextualSpacing/>
      <w:ind w:left="720" w:firstLine="0"/>
      <w:spacing w:before="0" w:after="0"/>
    </w:pPr>
  </w:style>
  <w:style w:type="paragraph" w:styleId="760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Droid Sans Devanagari"/>
      <w:color w:val="auto"/>
      <w:sz w:val="20"/>
      <w:szCs w:val="20"/>
      <w:lang w:val="ru-RU" w:eastAsia="zh-CN" w:bidi="hi-IN"/>
    </w:rPr>
  </w:style>
  <w:style w:type="paragraph" w:styleId="761">
    <w:name w:val="Title"/>
    <w:basedOn w:val="70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62">
    <w:name w:val="Subtitle"/>
    <w:basedOn w:val="705"/>
    <w:uiPriority w:val="11"/>
    <w:qFormat/>
    <w:pPr>
      <w:spacing w:before="200" w:after="200"/>
    </w:pPr>
    <w:rPr>
      <w:sz w:val="24"/>
      <w:szCs w:val="24"/>
    </w:rPr>
  </w:style>
  <w:style w:type="paragraph" w:styleId="763">
    <w:name w:val="Quote"/>
    <w:basedOn w:val="705"/>
    <w:uiPriority w:val="29"/>
    <w:qFormat/>
    <w:pPr>
      <w:ind w:left="720" w:right="720" w:firstLine="0"/>
    </w:pPr>
    <w:rPr>
      <w:i/>
    </w:rPr>
  </w:style>
  <w:style w:type="paragraph" w:styleId="764">
    <w:name w:val="Intense Quote"/>
    <w:basedOn w:val="705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65">
    <w:name w:val="Колонтитул"/>
    <w:basedOn w:val="705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66">
    <w:name w:val="Header"/>
    <w:basedOn w:val="705"/>
    <w:uiPriority w:val="99"/>
    <w:unhideWhenUsed/>
    <w:rPr>
      <w:lang w:val="en-US"/>
    </w:rPr>
  </w:style>
  <w:style w:type="paragraph" w:styleId="767">
    <w:name w:val="Footer"/>
    <w:basedOn w:val="705"/>
    <w:uiPriority w:val="99"/>
    <w:unhideWhenUsed/>
    <w:rPr>
      <w:lang w:val="en-US"/>
    </w:rPr>
  </w:style>
  <w:style w:type="paragraph" w:styleId="768">
    <w:name w:val="footnote text"/>
    <w:basedOn w:val="70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69">
    <w:name w:val="endnote text"/>
    <w:basedOn w:val="70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70">
    <w:name w:val="toc 1"/>
    <w:basedOn w:val="705"/>
    <w:uiPriority w:val="39"/>
    <w:unhideWhenUsed/>
    <w:pPr>
      <w:ind w:left="0" w:right="0" w:firstLine="0"/>
      <w:spacing w:before="0" w:after="57"/>
    </w:pPr>
  </w:style>
  <w:style w:type="paragraph" w:styleId="771">
    <w:name w:val="toc 2"/>
    <w:basedOn w:val="705"/>
    <w:uiPriority w:val="39"/>
    <w:unhideWhenUsed/>
    <w:pPr>
      <w:ind w:left="283" w:right="0" w:firstLine="0"/>
      <w:spacing w:before="0" w:after="57"/>
    </w:pPr>
  </w:style>
  <w:style w:type="paragraph" w:styleId="772">
    <w:name w:val="toc 3"/>
    <w:basedOn w:val="705"/>
    <w:uiPriority w:val="39"/>
    <w:unhideWhenUsed/>
    <w:pPr>
      <w:ind w:left="567" w:right="0" w:firstLine="0"/>
      <w:spacing w:before="0" w:after="57"/>
    </w:pPr>
  </w:style>
  <w:style w:type="paragraph" w:styleId="773">
    <w:name w:val="toc 4"/>
    <w:basedOn w:val="705"/>
    <w:uiPriority w:val="39"/>
    <w:unhideWhenUsed/>
    <w:pPr>
      <w:ind w:left="850" w:right="0" w:firstLine="0"/>
      <w:spacing w:before="0" w:after="57"/>
    </w:pPr>
  </w:style>
  <w:style w:type="paragraph" w:styleId="774">
    <w:name w:val="Index Heading"/>
    <w:basedOn w:val="754"/>
  </w:style>
  <w:style w:type="paragraph" w:styleId="775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Tahoma" w:cs="Droid Sans Devanagari"/>
      <w:color w:val="auto"/>
      <w:sz w:val="20"/>
      <w:szCs w:val="20"/>
      <w:lang w:val="ru-RU" w:eastAsia="zh-CN" w:bidi="hi-IN"/>
    </w:rPr>
  </w:style>
  <w:style w:type="paragraph" w:styleId="776">
    <w:name w:val="table of figures"/>
    <w:basedOn w:val="705"/>
    <w:uiPriority w:val="99"/>
    <w:unhideWhenUsed/>
    <w:qFormat/>
    <w:pPr>
      <w:spacing w:before="0" w:after="0" w:afterAutospacing="0"/>
    </w:pPr>
  </w:style>
  <w:style w:type="paragraph" w:styleId="777">
    <w:name w:val="Абзац списка"/>
    <w:basedOn w:val="705"/>
    <w:qFormat/>
    <w:pPr>
      <w:contextualSpacing/>
      <w:ind w:left="720" w:right="0" w:firstLine="0"/>
      <w:spacing w:before="0" w:after="0"/>
    </w:pPr>
  </w:style>
  <w:style w:type="paragraph" w:styleId="778">
    <w:name w:val="Текст выноски"/>
    <w:basedOn w:val="705"/>
    <w:qFormat/>
    <w:rPr>
      <w:rFonts w:ascii="Tahoma" w:hAnsi="Tahoma" w:cs="Tahoma"/>
      <w:sz w:val="16"/>
      <w:szCs w:val="16"/>
      <w:lang w:val="en-US"/>
    </w:rPr>
  </w:style>
  <w:style w:type="paragraph" w:styleId="779">
    <w:name w:val="ConsPlusCell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8"/>
      <w:szCs w:val="28"/>
      <w:lang w:val="ru-RU" w:eastAsia="zh-CN" w:bidi="ar-SA"/>
    </w:rPr>
  </w:style>
  <w:style w:type="paragraph" w:styleId="780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781">
    <w:name w:val="Без интервала"/>
    <w:qFormat/>
    <w:pPr>
      <w:ind w:left="0" w:right="0" w:firstLine="720"/>
      <w:jc w:val="both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782">
    <w:name w:val="ConsPlusNormal"/>
    <w:qFormat/>
    <w:pPr>
      <w:jc w:val="left"/>
      <w:spacing w:before="0" w:after="0"/>
      <w:widowControl/>
    </w:pPr>
    <w:rPr>
      <w:rFonts w:ascii="Calibri" w:hAnsi="Calibri" w:eastAsia="Calibri" w:cs="Calibri"/>
      <w:b/>
      <w:bCs/>
      <w:color w:val="auto"/>
      <w:sz w:val="22"/>
      <w:szCs w:val="22"/>
      <w:lang w:val="ru-RU" w:eastAsia="zh-CN" w:bidi="ar-SA"/>
    </w:rPr>
  </w:style>
  <w:style w:type="paragraph" w:styleId="783">
    <w:name w:val="Текст примечания"/>
    <w:basedOn w:val="705"/>
    <w:qFormat/>
  </w:style>
  <w:style w:type="paragraph" w:styleId="784">
    <w:name w:val="Верхний колонтитул слева"/>
    <w:basedOn w:val="766"/>
    <w:qFormat/>
    <w:pPr>
      <w:tabs>
        <w:tab w:val="clear" w:pos="708" w:leader="none"/>
        <w:tab w:val="center" w:pos="4960" w:leader="none"/>
        <w:tab w:val="right" w:pos="9921" w:leader="none"/>
      </w:tabs>
      <w:suppressLineNumbers/>
    </w:pPr>
  </w:style>
  <w:style w:type="numbering" w:styleId="785" w:default="1">
    <w:name w:val="No List"/>
    <w:uiPriority w:val="99"/>
    <w:semiHidden/>
    <w:unhideWhenUsed/>
    <w:qFormat/>
  </w:style>
  <w:style w:type="table" w:styleId="78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9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3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5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5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5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5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5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5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5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8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9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9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9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9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9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90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0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1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1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КонсультантПлюс Версия 4024.00.51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02.08.2010 N 80-п(ред. от 23.09.2024)"О Порядке предоставления денежных пособий лицам, ставшим инвалидами вследствие ранения, контузии или увечья, полученных при исполнении обязанностей военной службы, службы в войсках национальной гвардии Российской Федерации в ходе боевых действий, членам семей погибших участников боевых действий"</dc:title>
  <dc:subject/>
  <dc:creator>vki</dc:creator>
  <dc:description/>
  <dc:language>ru-RU</dc:language>
  <cp:revision>61</cp:revision>
  <dcterms:created xsi:type="dcterms:W3CDTF">2024-11-27T14:31:00Z</dcterms:created>
  <dcterms:modified xsi:type="dcterms:W3CDTF">2025-10-01T08:58:08Z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