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66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</w:t>
      </w:r>
      <w:r>
        <w:rPr>
          <w:color w:val="000000"/>
          <w:sz w:val="28"/>
          <w:szCs w:val="28"/>
        </w:rPr>
        <w:t xml:space="preserve">от 17.01.2023 № 8-п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>
        <w:rPr>
          <w:rFonts w:eastAsia="Calibri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eastAsia="Calibri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1</w:t>
      </w:r>
      <w:r>
        <w:rPr>
          <w:color w:val="000000"/>
          <w:sz w:val="28"/>
          <w:szCs w:val="28"/>
        </w:rPr>
        <w:t xml:space="preserve">7.01.2023 № 8-п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мере поддержки граждан, осуществляющих охрану общественного порядка на территории Новосибирской области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1) в пункте</w:t>
      </w:r>
      <w:r>
        <w:rPr>
          <w:rFonts w:eastAsia="Calibri"/>
          <w:sz w:val="28"/>
          <w:szCs w:val="28"/>
          <w:highlight w:val="none"/>
        </w:rPr>
        <w:t xml:space="preserve"> 1 слова «</w:t>
      </w:r>
      <w:r>
        <w:rPr>
          <w:rFonts w:eastAsia="Calibri"/>
          <w:sz w:val="28"/>
          <w:szCs w:val="28"/>
          <w:highlight w:val="none"/>
        </w:rPr>
        <w:t xml:space="preserve">лицам, замещающим должности младшего начальствующего состава</w:t>
      </w:r>
      <w:r>
        <w:rPr>
          <w:rFonts w:eastAsia="Calibri"/>
          <w:sz w:val="28"/>
          <w:szCs w:val="28"/>
          <w:highlight w:val="none"/>
        </w:rPr>
        <w:t xml:space="preserve">» заменить словами «</w:t>
      </w:r>
      <w:r>
        <w:rPr>
          <w:rFonts w:eastAsia="Calibri"/>
          <w:sz w:val="28"/>
          <w:szCs w:val="28"/>
          <w:highlight w:val="none"/>
        </w:rPr>
        <w:t xml:space="preserve">лицам, замещающим должности младшего, среднего и старшего начальствующего состава</w:t>
      </w:r>
      <w:r>
        <w:rPr>
          <w:rFonts w:eastAsia="Calibri"/>
          <w:sz w:val="28"/>
          <w:szCs w:val="28"/>
          <w:highlight w:val="none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2 ) в </w:t>
      </w:r>
      <w:r>
        <w:rPr>
          <w:rFonts w:eastAsia="Calibri"/>
          <w:sz w:val="28"/>
          <w:szCs w:val="28"/>
          <w:highlight w:val="none"/>
        </w:rPr>
        <w:t xml:space="preserve">условиях и порядке предоставления ежемесячной выплаты гражданам, осуществляющим охрану общественного порядка на территории Новосибирской области</w:t>
      </w:r>
      <w:r>
        <w:rPr>
          <w:rFonts w:eastAsia="Calibri"/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а) в пункте 1 слова </w:t>
      </w:r>
      <w:r>
        <w:rPr>
          <w:rFonts w:eastAsia="Calibri"/>
          <w:sz w:val="28"/>
          <w:szCs w:val="28"/>
          <w:highlight w:val="none"/>
        </w:rPr>
        <w:t xml:space="preserve">«лицам, замещающим должности младшего начальствующего состава</w:t>
      </w:r>
      <w:r>
        <w:rPr>
          <w:rFonts w:eastAsia="Calibri"/>
          <w:sz w:val="28"/>
          <w:szCs w:val="28"/>
          <w:highlight w:val="none"/>
        </w:rPr>
        <w:t xml:space="preserve">»</w:t>
      </w:r>
      <w:r>
        <w:rPr>
          <w:sz w:val="28"/>
          <w:szCs w:val="28"/>
        </w:rPr>
        <w:t xml:space="preserve"> заменить словами «</w:t>
      </w:r>
      <w:r>
        <w:rPr>
          <w:rFonts w:eastAsia="Calibri"/>
          <w:sz w:val="28"/>
          <w:szCs w:val="28"/>
          <w:highlight w:val="none"/>
        </w:rPr>
        <w:t xml:space="preserve">лицам, замещающим должности младшего, среднего и старшего начальствующего состава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абзац второй пункта 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лиц, замещающих должности младшего, среднего и старшего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Российской Федерации по Новосибирской области»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Управление вневедомствен</w:t>
      </w:r>
      <w:r>
        <w:rPr>
          <w:sz w:val="28"/>
          <w:szCs w:val="28"/>
          <w:highlight w:val="none"/>
        </w:rPr>
        <w:t xml:space="preserve">ной охраны), мера поддержки предоставляется на основании ходатайства, представляемого 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ем вневедомственной охраны. Для лиц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замещающих должности среднего и старшего начальствующего состава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Управления вневедомствен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ной охраны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дополнительно представляется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риказ начальника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Управления вневедомственной охраны войск национальной гвардии по Новосибирской области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«О выполнении функции по участию в обеспечении правопорядка и общественной безопасности при проведении массовых мероприятий в (месяц, год) и выплате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адбавки лицам, проходящим службу в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войсках национальной гвардии Российской Федерации и имеющих специальные звания полиции», приказа 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ачальника Управления федеральной службы войск национальной гвардии Российской Федерации по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Новосибирской области «О выпол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нении функции по участию в обеспечении правопорядка и общественной безопасности при проведении публичных мероприят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ий в (месяц, год) и выплате надбавки лицам, проходящим службу в вой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сках национальной гвардии Российской Федерации и имеющих специальные звания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полиции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Действие настоящего постановления распространяется на правоотношения, возникшие с 1 июля 2025 года.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center" w:pos="4677" w:leader="none"/>
          <w:tab w:val="right" w:pos="9355" w:leader="none"/>
        </w:tabs>
      </w:pPr>
      <w:r>
        <w:rPr>
          <w:lang w:val="en-US"/>
        </w:rPr>
        <w:t xml:space="preserve">Е</w:t>
      </w:r>
      <w:r>
        <w:t xml:space="preserve">.В</w:t>
      </w:r>
      <w:r>
        <w:rPr>
          <w:lang w:val="en-US"/>
        </w:rPr>
        <w:t xml:space="preserve">. </w:t>
      </w:r>
      <w:r>
        <w:t xml:space="preserve">Бахарева</w:t>
      </w:r>
    </w:p>
    <w:p>
      <w:pPr>
        <w:pStyle w:val="866"/>
        <w:ind w:right="-1"/>
      </w:pPr>
      <w:r>
        <w:rPr>
          <w:lang w:val="en-US"/>
        </w:rPr>
        <w:t xml:space="preserve">238</w:t>
      </w:r>
      <w:r>
        <w:t xml:space="preserve"> </w:t>
      </w:r>
      <w:r>
        <w:rPr>
          <w:lang w:val="en-US"/>
        </w:rPr>
        <w:t xml:space="preserve">75</w:t>
      </w:r>
      <w:r>
        <w:t xml:space="preserve"> 10</w:t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Губернатора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Губернатора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Хальзов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Т.Н. 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Председателя Правительства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– министр финансов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налоговой политики Новосибирской области</w:t>
      </w:r>
      <w:r>
        <w:rPr>
          <w:sz w:val="28"/>
          <w:szCs w:val="28"/>
        </w:rPr>
        <w:t xml:space="preserve">                                 В.Ю. Голубенко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труда и социального развития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Бахарева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Заместитель министра </w:t>
      </w:r>
      <w:r>
        <w:rPr>
          <w:sz w:val="20"/>
          <w:szCs w:val="20"/>
        </w:rPr>
        <w:t xml:space="preserve">труда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оциального развития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Новосибирск</w:t>
      </w:r>
      <w:r>
        <w:rPr>
          <w:sz w:val="20"/>
          <w:szCs w:val="20"/>
        </w:rPr>
        <w:t xml:space="preserve">ой области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Т.А. Мальцева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организации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социальных</w:t>
      </w:r>
      <w:r>
        <w:rPr>
          <w:sz w:val="20"/>
          <w:szCs w:val="20"/>
        </w:rPr>
        <w:t xml:space="preserve"> выплат министерства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труда</w:t>
      </w:r>
      <w:r>
        <w:rPr>
          <w:sz w:val="20"/>
          <w:szCs w:val="20"/>
        </w:rPr>
        <w:t xml:space="preserve"> и социального развития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Новосибирск</w:t>
      </w:r>
      <w:r>
        <w:rPr>
          <w:sz w:val="20"/>
          <w:szCs w:val="20"/>
        </w:rPr>
        <w:t xml:space="preserve">ой области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Д.С. Радич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</w:pPr>
      <w:r>
        <w:t xml:space="preserve">Н</w:t>
      </w:r>
      <w:r>
        <w:t xml:space="preserve">ачальник </w:t>
      </w:r>
      <w:r>
        <w:t xml:space="preserve">п</w:t>
      </w:r>
      <w:r>
        <w:t xml:space="preserve">равового управления</w:t>
      </w:r>
    </w:p>
    <w:p>
      <w:pPr>
        <w:pStyle w:val="866"/>
      </w:pPr>
      <w:r>
        <w:t xml:space="preserve">министерства труда и социального</w:t>
      </w:r>
    </w:p>
    <w:p>
      <w:pPr>
        <w:pStyle w:val="866"/>
      </w:pPr>
      <w:r>
        <w:t xml:space="preserve">развития Новосибирской области</w:t>
      </w:r>
      <w:r>
        <w:t xml:space="preserve">                                                                              </w:t>
      </w:r>
      <w:r>
        <w:t xml:space="preserve">                               </w:t>
      </w:r>
      <w:r>
        <w:t xml:space="preserve">      </w:t>
      </w:r>
      <w:r>
        <w:t xml:space="preserve"> </w:t>
      </w:r>
      <w:r>
        <w:t xml:space="preserve">Е</w:t>
      </w:r>
      <w:r>
        <w:t xml:space="preserve">.</w:t>
      </w:r>
      <w:r>
        <w:t xml:space="preserve">В</w:t>
      </w:r>
      <w:r>
        <w:t xml:space="preserve">. </w:t>
      </w:r>
      <w:r>
        <w:t xml:space="preserve">Нарубина</w:t>
      </w: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  <w:r>
        <w:t xml:space="preserve">В</w:t>
      </w:r>
      <w:r>
        <w:t xml:space="preserve">.</w:t>
      </w:r>
      <w:r>
        <w:t xml:space="preserve">С</w:t>
      </w:r>
      <w:r>
        <w:t xml:space="preserve">. </w:t>
      </w:r>
      <w:r>
        <w:t xml:space="preserve">Купач</w:t>
      </w:r>
    </w:p>
    <w:p>
      <w:pPr>
        <w:pStyle w:val="866"/>
      </w:pPr>
      <w:r>
        <w:t xml:space="preserve">2</w:t>
      </w:r>
      <w:r>
        <w:t xml:space="preserve">38 77 59</w:t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</w:p>
  <w:p>
    <w:pPr>
      <w:pStyle w:val="877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ind w:left="720"/>
      <w:contextualSpacing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spacing w:after="57"/>
      <w:ind w:left="0" w:right="0" w:firstLine="0"/>
    </w:pPr>
  </w:style>
  <w:style w:type="paragraph" w:styleId="856">
    <w:name w:val="toc 2"/>
    <w:basedOn w:val="866"/>
    <w:next w:val="866"/>
    <w:uiPriority w:val="39"/>
    <w:unhideWhenUsed/>
    <w:pPr>
      <w:spacing w:after="57"/>
      <w:ind w:left="283" w:right="0" w:firstLine="0"/>
    </w:pPr>
  </w:style>
  <w:style w:type="paragraph" w:styleId="857">
    <w:name w:val="toc 3"/>
    <w:basedOn w:val="866"/>
    <w:next w:val="866"/>
    <w:uiPriority w:val="39"/>
    <w:unhideWhenUsed/>
    <w:pPr>
      <w:spacing w:after="57"/>
      <w:ind w:left="567" w:right="0" w:firstLine="0"/>
    </w:pPr>
  </w:style>
  <w:style w:type="paragraph" w:styleId="858">
    <w:name w:val="toc 4"/>
    <w:basedOn w:val="866"/>
    <w:next w:val="866"/>
    <w:uiPriority w:val="39"/>
    <w:unhideWhenUsed/>
    <w:pPr>
      <w:spacing w:after="57"/>
      <w:ind w:left="850" w:right="0" w:firstLine="0"/>
    </w:pPr>
  </w:style>
  <w:style w:type="paragraph" w:styleId="859">
    <w:name w:val="toc 5"/>
    <w:basedOn w:val="866"/>
    <w:next w:val="866"/>
    <w:uiPriority w:val="39"/>
    <w:unhideWhenUsed/>
    <w:pPr>
      <w:spacing w:after="57"/>
      <w:ind w:left="1134" w:right="0" w:firstLine="0"/>
    </w:pPr>
  </w:style>
  <w:style w:type="paragraph" w:styleId="860">
    <w:name w:val="toc 6"/>
    <w:basedOn w:val="866"/>
    <w:next w:val="866"/>
    <w:uiPriority w:val="39"/>
    <w:unhideWhenUsed/>
    <w:pPr>
      <w:spacing w:after="57"/>
      <w:ind w:left="1417" w:right="0" w:firstLine="0"/>
    </w:pPr>
  </w:style>
  <w:style w:type="paragraph" w:styleId="861">
    <w:name w:val="toc 7"/>
    <w:basedOn w:val="866"/>
    <w:next w:val="866"/>
    <w:uiPriority w:val="39"/>
    <w:unhideWhenUsed/>
    <w:pPr>
      <w:spacing w:after="57"/>
      <w:ind w:left="1701" w:right="0" w:firstLine="0"/>
    </w:pPr>
  </w:style>
  <w:style w:type="paragraph" w:styleId="862">
    <w:name w:val="toc 8"/>
    <w:basedOn w:val="866"/>
    <w:next w:val="866"/>
    <w:uiPriority w:val="39"/>
    <w:unhideWhenUsed/>
    <w:pPr>
      <w:spacing w:after="57"/>
      <w:ind w:left="1984" w:right="0" w:firstLine="0"/>
    </w:pPr>
  </w:style>
  <w:style w:type="paragraph" w:styleId="863">
    <w:name w:val="toc 9"/>
    <w:basedOn w:val="866"/>
    <w:next w:val="866"/>
    <w:uiPriority w:val="39"/>
    <w:unhideWhenUsed/>
    <w:pPr>
      <w:spacing w:after="57"/>
      <w:ind w:left="2268" w:right="0" w:firstLine="0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rFonts w:ascii="Times New Roman" w:hAnsi="Times New Roman" w:eastAsia="Times New Roman"/>
      <w:lang w:val="ru-RU" w:eastAsia="ru-RU" w:bidi="ar-SA"/>
    </w:rPr>
  </w:style>
  <w:style w:type="paragraph" w:styleId="867">
    <w:name w:val="Заголовок 1"/>
    <w:basedOn w:val="866"/>
    <w:next w:val="866"/>
    <w:link w:val="871"/>
    <w:qFormat/>
    <w:pPr>
      <w:keepNext/>
      <w:jc w:val="right"/>
      <w:outlineLvl w:val="0"/>
    </w:pPr>
    <w:rPr>
      <w:sz w:val="28"/>
      <w:lang w:val="en-US"/>
    </w:rPr>
  </w:style>
  <w:style w:type="character" w:styleId="868">
    <w:name w:val="Основной шрифт абзаца"/>
    <w:next w:val="868"/>
    <w:link w:val="866"/>
    <w:uiPriority w:val="1"/>
    <w:unhideWhenUsed/>
  </w:style>
  <w:style w:type="table" w:styleId="869">
    <w:name w:val="Обычная таблица"/>
    <w:next w:val="869"/>
    <w:link w:val="866"/>
    <w:uiPriority w:val="99"/>
    <w:semiHidden/>
    <w:unhideWhenUsed/>
    <w:tblPr/>
  </w:style>
  <w:style w:type="numbering" w:styleId="870">
    <w:name w:val="Нет списка"/>
    <w:next w:val="870"/>
    <w:link w:val="866"/>
    <w:uiPriority w:val="99"/>
    <w:semiHidden/>
    <w:unhideWhenUsed/>
  </w:style>
  <w:style w:type="character" w:styleId="871">
    <w:name w:val="Заголовок 1 Знак"/>
    <w:next w:val="871"/>
    <w:link w:val="8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2">
    <w:name w:val="Абзац списка"/>
    <w:basedOn w:val="866"/>
    <w:next w:val="872"/>
    <w:link w:val="866"/>
    <w:uiPriority w:val="34"/>
    <w:qFormat/>
    <w:pPr>
      <w:ind w:left="720"/>
      <w:contextualSpacing/>
    </w:pPr>
  </w:style>
  <w:style w:type="paragraph" w:styleId="873">
    <w:name w:val="Текст выноски"/>
    <w:basedOn w:val="866"/>
    <w:next w:val="873"/>
    <w:link w:val="87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75">
    <w:name w:val="Сетка таблицы"/>
    <w:basedOn w:val="869"/>
    <w:next w:val="875"/>
    <w:link w:val="866"/>
    <w:uiPriority w:val="59"/>
    <w:pPr>
      <w:spacing w:after="0" w:line="240" w:lineRule="auto"/>
      <w:jc w:val="both"/>
    </w:pPr>
    <w:tblPr/>
  </w:style>
  <w:style w:type="paragraph" w:styleId="876">
    <w:name w:val="ConsPlusCell"/>
    <w:next w:val="876"/>
    <w:link w:val="86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77">
    <w:name w:val="Верхний колонтитул"/>
    <w:basedOn w:val="866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8">
    <w:name w:val="Верхний колонтитул Знак"/>
    <w:next w:val="878"/>
    <w:link w:val="87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9">
    <w:name w:val="Нижний колонтитул"/>
    <w:basedOn w:val="866"/>
    <w:next w:val="879"/>
    <w:link w:val="88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0">
    <w:name w:val="Нижний колонтитул Знак"/>
    <w:next w:val="880"/>
    <w:link w:val="8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ConsPlusNonformat"/>
    <w:next w:val="881"/>
    <w:link w:val="86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82">
    <w:name w:val="Без интервала"/>
    <w:next w:val="882"/>
    <w:link w:val="866"/>
    <w:uiPriority w:val="1"/>
    <w:qFormat/>
    <w:pPr>
      <w:widowControl w:val="off"/>
      <w:ind w:firstLine="720"/>
      <w:jc w:val="both"/>
    </w:pPr>
    <w:rPr>
      <w:rFonts w:ascii="Arial" w:hAnsi="Arial" w:eastAsia="Times New Roman" w:cs="Arial"/>
      <w:lang w:val="ru-RU" w:eastAsia="ru-RU" w:bidi="ar-SA"/>
    </w:rPr>
  </w:style>
  <w:style w:type="paragraph" w:styleId="883">
    <w:name w:val="ConsPlusNormal"/>
    <w:next w:val="883"/>
    <w:link w:val="866"/>
    <w:rPr>
      <w:rFonts w:cs="Calibri"/>
      <w:b/>
      <w:bCs/>
      <w:sz w:val="22"/>
      <w:szCs w:val="22"/>
      <w:lang w:val="ru-RU" w:eastAsia="ru-RU" w:bidi="ar-SA"/>
    </w:rPr>
  </w:style>
  <w:style w:type="character" w:styleId="884">
    <w:name w:val="Знак примечания"/>
    <w:next w:val="884"/>
    <w:link w:val="866"/>
    <w:uiPriority w:val="99"/>
    <w:semiHidden/>
    <w:unhideWhenUsed/>
    <w:rPr>
      <w:sz w:val="16"/>
      <w:szCs w:val="16"/>
    </w:rPr>
  </w:style>
  <w:style w:type="paragraph" w:styleId="885">
    <w:name w:val="Текст примечания"/>
    <w:basedOn w:val="866"/>
    <w:next w:val="885"/>
    <w:link w:val="886"/>
    <w:uiPriority w:val="99"/>
    <w:semiHidden/>
    <w:unhideWhenUsed/>
  </w:style>
  <w:style w:type="character" w:styleId="886">
    <w:name w:val="Текст примечания Знак"/>
    <w:next w:val="886"/>
    <w:link w:val="885"/>
    <w:uiPriority w:val="99"/>
    <w:semiHidden/>
    <w:rPr>
      <w:rFonts w:ascii="Times New Roman" w:hAnsi="Times New Roman" w:eastAsia="Times New Roman"/>
    </w:rPr>
  </w:style>
  <w:style w:type="character" w:styleId="887">
    <w:name w:val="Строгий"/>
    <w:next w:val="887"/>
    <w:link w:val="866"/>
    <w:uiPriority w:val="22"/>
    <w:qFormat/>
    <w:rPr>
      <w:b/>
      <w:bCs/>
    </w:rPr>
  </w:style>
  <w:style w:type="character" w:styleId="888">
    <w:name w:val="Гиперссылка"/>
    <w:next w:val="888"/>
    <w:link w:val="866"/>
    <w:uiPriority w:val="99"/>
    <w:unhideWhenUsed/>
    <w:rPr>
      <w:color w:val="0563c1"/>
      <w:u w:val="single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310</cp:revision>
  <dcterms:created xsi:type="dcterms:W3CDTF">2021-10-19T08:23:00Z</dcterms:created>
  <dcterms:modified xsi:type="dcterms:W3CDTF">2025-07-08T08:32:55Z</dcterms:modified>
  <cp:version>983040</cp:version>
</cp:coreProperties>
</file>