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90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</w:t>
      </w:r>
      <w:r>
        <w:rPr>
          <w:rFonts w:ascii="Times New Roman" w:hAnsi="Times New Roman"/>
          <w:sz w:val="28"/>
          <w:szCs w:val="28"/>
        </w:rPr>
        <w:t xml:space="preserve">ития Новосибирской области от 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создании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Пункт 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«3. Контроль за исполнением приказа возложить на заместителя министра труда и социального развития Новосибирской области Марущак Е.Б.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Состав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вопросам предоставления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и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bCs/>
          <w:sz w:val="28"/>
          <w:szCs w:val="28"/>
        </w:rPr>
        <w:t xml:space="preserve">, изложить в редакции согласно приложению к настоящему приказу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приказом министерства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28.04.2012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вопросам предоставления материальной помощи на ремонт жилых помещений детям-сиротам и детям</w:t>
      </w:r>
      <w:r>
        <w:rPr>
          <w:rFonts w:ascii="Times New Roman" w:hAnsi="Times New Roman"/>
          <w:b/>
          <w:bCs/>
          <w:sz w:val="28"/>
          <w:szCs w:val="28"/>
        </w:rPr>
        <w:t xml:space="preserve">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авшимся без попечения родителей, и лицам из числа детей-сирот и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Марущак               Евгения Борисовна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заместитель министра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Николаенко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Николаенко Т.А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  <w:t xml:space="preserve">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</w:t>
            </w:r>
            <w:r>
              <w:rPr>
                <w:rFonts w:ascii="Times New Roman" w:hAnsi="Times New Roman"/>
                <w:sz w:val="28"/>
              </w:rPr>
              <w:t xml:space="preserve">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</w:pPr>
            <w:r/>
            <w:r/>
          </w:p>
          <w:p>
            <w:pPr>
              <w:spacing w:after="1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36"/>
                <w:szCs w:val="36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Шипугин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Иван </w:t>
            </w:r>
            <w:r>
              <w:rPr>
                <w:rFonts w:ascii="Times New Roman" w:hAnsi="Times New Roman"/>
                <w:sz w:val="28"/>
              </w:rPr>
              <w:t xml:space="preserve">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left"/>
              <w:spacing w:after="1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spacing w:after="1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spacing w:after="1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spacing w:after="1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left"/>
              <w:spacing w:after="1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1" w:line="280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обеспечения деятельности учреждений социальной сферы государственного казенного уч</w:t>
            </w:r>
            <w:r>
              <w:rPr>
                <w:rFonts w:ascii="Times New Roman" w:hAnsi="Times New Roman"/>
                <w:sz w:val="28"/>
              </w:rPr>
              <w:t xml:space="preserve">реждения Новосибирской области «</w:t>
            </w:r>
            <w:r>
              <w:rPr>
                <w:rFonts w:ascii="Times New Roman" w:hAnsi="Times New Roman"/>
                <w:sz w:val="28"/>
              </w:rPr>
              <w:t xml:space="preserve">Соцтехсервис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 (по согласованию).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  <w:rPr>
            <w:sz w:val="20"/>
          </w:rPr>
        </w:pPr>
        <w:r>
          <w:rPr>
            <w:sz w:val="20"/>
          </w:rPr>
          <w:t xml:space="preserve">2</w:t>
        </w:r>
        <w:r>
          <w:rPr>
            <w:sz w:val="20"/>
          </w:rPr>
          <w:instrText xml:space="preserve">PAGE MERGEFORMAT</w:instrText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90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/>
    <w:r/>
  </w:p>
  <w:p>
    <w:pPr>
      <w:pStyle w:val="89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0"/>
    <w:next w:val="880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basedOn w:val="883"/>
    <w:link w:val="709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3"/>
    <w:link w:val="881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83"/>
    <w:link w:val="882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3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3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3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3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0"/>
    <w:next w:val="880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3"/>
    <w:link w:val="726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3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3"/>
    <w:link w:val="890"/>
    <w:uiPriority w:val="99"/>
  </w:style>
  <w:style w:type="character" w:styleId="735">
    <w:name w:val="Footer Char"/>
    <w:basedOn w:val="883"/>
    <w:link w:val="895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95"/>
    <w:uiPriority w:val="99"/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3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3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81">
    <w:name w:val="Heading 2"/>
    <w:basedOn w:val="880"/>
    <w:next w:val="880"/>
    <w:link w:val="89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2">
    <w:name w:val="Heading 4"/>
    <w:basedOn w:val="880"/>
    <w:next w:val="880"/>
    <w:link w:val="892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paragraph" w:styleId="886">
    <w:name w:val="Balloon Text"/>
    <w:basedOn w:val="880"/>
    <w:link w:val="88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83"/>
    <w:link w:val="886"/>
    <w:uiPriority w:val="99"/>
    <w:semiHidden/>
    <w:rPr>
      <w:rFonts w:ascii="Tahoma" w:hAnsi="Tahoma" w:cs="Tahoma"/>
      <w:sz w:val="16"/>
      <w:szCs w:val="16"/>
    </w:rPr>
  </w:style>
  <w:style w:type="table" w:styleId="888">
    <w:name w:val="Table Grid"/>
    <w:basedOn w:val="884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9">
    <w:name w:val="Hyperlink"/>
    <w:basedOn w:val="883"/>
    <w:uiPriority w:val="99"/>
    <w:rPr>
      <w:rFonts w:cs="Times New Roman"/>
      <w:color w:val="0000ff"/>
      <w:u w:val="single"/>
    </w:rPr>
  </w:style>
  <w:style w:type="paragraph" w:styleId="890">
    <w:name w:val="Header"/>
    <w:basedOn w:val="880"/>
    <w:link w:val="89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1" w:customStyle="1">
    <w:name w:val="Верхний колонтитул Знак"/>
    <w:basedOn w:val="883"/>
    <w:link w:val="890"/>
    <w:uiPriority w:val="99"/>
    <w:rPr>
      <w:rFonts w:ascii="Times New Roman" w:hAnsi="Times New Roman" w:cs="Times New Roman"/>
      <w:sz w:val="20"/>
      <w:szCs w:val="20"/>
    </w:rPr>
  </w:style>
  <w:style w:type="character" w:styleId="892" w:customStyle="1">
    <w:name w:val="Заголовок 4 Знак"/>
    <w:basedOn w:val="883"/>
    <w:link w:val="882"/>
    <w:rPr>
      <w:rFonts w:ascii="Times New Roman" w:hAnsi="Times New Roman"/>
      <w:sz w:val="28"/>
      <w:szCs w:val="20"/>
    </w:rPr>
  </w:style>
  <w:style w:type="paragraph" w:styleId="893">
    <w:name w:val="Body Text"/>
    <w:basedOn w:val="880"/>
    <w:link w:val="894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4" w:customStyle="1">
    <w:name w:val="Основной текст Знак"/>
    <w:basedOn w:val="883"/>
    <w:link w:val="893"/>
    <w:rPr>
      <w:rFonts w:ascii="Times New Roman" w:hAnsi="Times New Roman"/>
      <w:sz w:val="28"/>
      <w:szCs w:val="20"/>
    </w:rPr>
  </w:style>
  <w:style w:type="paragraph" w:styleId="895">
    <w:name w:val="Footer"/>
    <w:basedOn w:val="880"/>
    <w:link w:val="896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96" w:customStyle="1">
    <w:name w:val="Нижний колонтитул Знак"/>
    <w:basedOn w:val="883"/>
    <w:link w:val="895"/>
    <w:uiPriority w:val="99"/>
    <w:rPr>
      <w:rFonts w:ascii="Times New Roman" w:hAnsi="Times New Roman"/>
      <w:sz w:val="28"/>
      <w:szCs w:val="20"/>
    </w:rPr>
  </w:style>
  <w:style w:type="character" w:styleId="897" w:customStyle="1">
    <w:name w:val="Заголовок 2 Знак"/>
    <w:basedOn w:val="883"/>
    <w:link w:val="88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8">
    <w:name w:val="Body Text Indent"/>
    <w:basedOn w:val="880"/>
    <w:link w:val="899"/>
    <w:uiPriority w:val="99"/>
    <w:unhideWhenUsed/>
    <w:pPr>
      <w:ind w:left="283"/>
      <w:spacing w:after="120"/>
    </w:pPr>
  </w:style>
  <w:style w:type="character" w:styleId="899" w:customStyle="1">
    <w:name w:val="Основной текст с отступом Знак"/>
    <w:basedOn w:val="883"/>
    <w:link w:val="898"/>
    <w:uiPriority w:val="99"/>
    <w:rPr>
      <w:sz w:val="22"/>
      <w:szCs w:val="22"/>
    </w:rPr>
  </w:style>
  <w:style w:type="paragraph" w:styleId="900">
    <w:name w:val="List Paragraph"/>
    <w:basedOn w:val="880"/>
    <w:uiPriority w:val="34"/>
    <w:qFormat/>
    <w:pPr>
      <w:contextualSpacing/>
      <w:ind w:left="720"/>
    </w:pPr>
  </w:style>
  <w:style w:type="paragraph" w:styleId="90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3F6-822A-4D5A-BB02-FA09C6E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34</cp:revision>
  <dcterms:created xsi:type="dcterms:W3CDTF">2023-10-09T08:38:00Z</dcterms:created>
  <dcterms:modified xsi:type="dcterms:W3CDTF">2024-12-13T03:03:40Z</dcterms:modified>
</cp:coreProperties>
</file>