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left="5669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left="5669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left="5669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0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ind w:right="-1" w:firstLine="0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единовременной материальной помощи отдельным категориям членов семьи погибших (умерших, признанных в установленном порядке безвестно отсутствующими или объявленных умершими)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Настоящий порядок регулирует мех</w:t>
      </w:r>
      <w:r>
        <w:rPr>
          <w:sz w:val="28"/>
          <w:szCs w:val="28"/>
        </w:rPr>
        <w:t xml:space="preserve">анизм предоставления отдельным категория</w:t>
      </w:r>
      <w:r>
        <w:rPr>
          <w:sz w:val="28"/>
          <w:szCs w:val="28"/>
        </w:rPr>
        <w:t xml:space="preserve">м членов семьи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 – специальная военная операция), погибших (умерших, призн</w:t>
      </w:r>
      <w:r>
        <w:rPr>
          <w:sz w:val="28"/>
          <w:szCs w:val="28"/>
        </w:rPr>
        <w:t xml:space="preserve">анных в установленном порядке безвестно отсутствующими или объявленных умершими) в период их участия в специальной военной операции (далее – погибший (умерший) участник специальной военной операц</w:t>
      </w:r>
      <w:r>
        <w:rPr>
          <w:sz w:val="28"/>
          <w:szCs w:val="28"/>
          <w:highlight w:val="none"/>
        </w:rPr>
        <w:t xml:space="preserve">ии), </w:t>
      </w:r>
      <w:r>
        <w:rPr>
          <w:sz w:val="28"/>
          <w:szCs w:val="28"/>
          <w:highlight w:val="none"/>
        </w:rPr>
        <w:t xml:space="preserve">являвшихся гражданами Российской Федерации и на дату гиб</w:t>
      </w:r>
      <w:r>
        <w:rPr>
          <w:sz w:val="28"/>
          <w:szCs w:val="28"/>
          <w:highlight w:val="none"/>
        </w:rPr>
        <w:t xml:space="preserve">ели (смерти) постоянно проживавших на территории Новосибирской области либо зарегистрированных на территории Новосибирской области, либо если их погребение (кремация с последующим захоронением урны с прахом) произведены на территории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Оказание единовременной материальной помощи осуществляется за счет средств областного бюджета Новосибирской области.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 Предоставление единовременной материальной помощи осуществляется министерством труда и социального развития Новосибирской области (далее – министерство).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 Единовременная материальная помощь предост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авляется членам семьи погибшего (умершего) участника специальной военной операции, не получавшим по факту гибели (смерти) участника специальной военной операции в связи с отсутствием права иные единовременные выплаты, предоставляемые федеральными органами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исполнительной власти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субъектами Российской Федерации, организациями, содействующими выполнению задач, возложенных на Вооруженные Силы Российской Федерации, страховыми организациями, являющимися в соответствии с Федеральным законом от 28.03.1998 № 52-ФЗ «Об обязательном гос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 страховщиком по обязательному государственному страхованию (далее – страховая организация) в свя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зи гибелью (смертью) участника специальной военной операции (за исключением тех членов семьи погибшего (умершего) участника специальной военной операции, которые лишены права на получение указанных выплат в соответствии со вступившим в силу решением суда).</w: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К участникам </w:t>
      </w:r>
      <w:r>
        <w:rPr>
          <w:rFonts w:eastAsia="Calibri"/>
          <w:sz w:val="28"/>
          <w:szCs w:val="28"/>
        </w:rPr>
        <w:t xml:space="preserve">специальной военной операции относятся военнослужащие, лица, пребыв</w:t>
      </w:r>
      <w:r>
        <w:rPr>
          <w:rFonts w:eastAsia="Calibri"/>
          <w:sz w:val="28"/>
          <w:szCs w:val="28"/>
        </w:rPr>
        <w:t xml:space="preserve">ав</w:t>
      </w:r>
      <w:r>
        <w:rPr>
          <w:rFonts w:eastAsia="Calibri"/>
          <w:sz w:val="28"/>
          <w:szCs w:val="28"/>
        </w:rPr>
        <w:t xml:space="preserve">шие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</w:t>
      </w:r>
      <w:r>
        <w:rPr>
          <w:rFonts w:eastAsia="Calibri"/>
          <w:sz w:val="28"/>
          <w:szCs w:val="28"/>
        </w:rPr>
        <w:t xml:space="preserve">ации), лица, проходившие службу в войсках национальной гвардии Российской Федерации и имевшие специальные звания полиции, сотрудники органов внутренних дел Российской Федерации, лица, заключившие контракт (имевшие иные правоотношения) с организациями, соде</w:t>
      </w:r>
      <w:r>
        <w:rPr>
          <w:rFonts w:eastAsia="Calibri"/>
          <w:sz w:val="28"/>
          <w:szCs w:val="28"/>
        </w:rPr>
        <w:t xml:space="preserve">йствующими выполнению задач, возложенных на Вооруженные Силы Российской Федерации, принимавшие участие в специальной военной операции, военнослужащие органов федеральной службы безопасности, непосредственно выполнявшие задачи по охране государственной гран</w:t>
      </w:r>
      <w:r>
        <w:rPr>
          <w:rFonts w:eastAsia="Calibri"/>
          <w:sz w:val="28"/>
          <w:szCs w:val="28"/>
        </w:rPr>
        <w:t xml:space="preserve">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strike w:val="0"/>
          <w:highlight w:val="none"/>
        </w:rPr>
      </w:pPr>
      <w:r>
        <w:rPr>
          <w:rFonts w:ascii="Times New Roman" w:hAnsi="Times New Roman" w:cs="Times New Roman"/>
          <w:b w:val="0"/>
          <w:strike w:val="0"/>
          <w:sz w:val="28"/>
          <w:szCs w:val="28"/>
        </w:rPr>
        <w:t xml:space="preserve">Получение единовременной материальной </w:t>
      </w:r>
      <w:r>
        <w:rPr>
          <w:rFonts w:ascii="Times New Roman" w:hAnsi="Times New Roman" w:cs="Times New Roman"/>
          <w:b w:val="0"/>
          <w:strike w:val="0"/>
          <w:sz w:val="28"/>
          <w:szCs w:val="28"/>
        </w:rPr>
        <w:t xml:space="preserve">помощи, предусмотренной настоящим постановлением,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</w:t>
      </w:r>
      <w:r>
        <w:rPr>
          <w:rFonts w:ascii="Times New Roman" w:hAnsi="Times New Roman" w:cs="Times New Roman"/>
          <w:b w:val="0"/>
          <w:strike w:val="0"/>
          <w:sz w:val="28"/>
          <w:szCs w:val="28"/>
          <w:highlight w:val="none"/>
        </w:rPr>
        <w:t xml:space="preserve">аконодательством Новосибирской области.</w:t>
      </w:r>
      <w:r>
        <w:rPr>
          <w:strike w:val="0"/>
          <w:highlight w:val="none"/>
        </w:rPr>
      </w:r>
      <w:r>
        <w:rPr>
          <w:strike w:val="0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5. Членами семьи погибшего (умершего) участника специальной военной операции, имеющими право на получение единовременной материальной помощи, являются следующие граждане Российск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ой 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едерации, постоянно проживающие на территории Новосибирской области либо зарегистрированные на территории Новосибирской области (состав членов семьи, их гражданство и проживание (регистрация) на территории Новосибирской области определяются на день гибели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(смерти) погибшего (умершего) участника специальной военной операции):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супруга (супруг), состоящая (состоящий) в зарегистрированном браке по состоянию на день гибели (смерти) погибшего (умершего) участника специальной военной операции;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родители (усыновители) погибшего (умершего) участника специальной военной операции;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дети погибшего (умершего) участника специальной военной операции, не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стигшие возраста 18 лет,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Возраст детей погибшего (умершего) участника специальной военной операции учитывается по состоянию на день гибели (смерти) погибшего (умершего) участника специальной военной операци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 Для получения единовременной материальной помощи члены семьи погибшего (умершего) участника специальной военной операции (далее – заявители) или их уполномоченные представите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 обращаются лично в министерство или в государственное казенное учреждение Новосибирской области - центр социальной поддержки населения, подведомственное министерству труда и социального развития Новосибирской области, либо его клиентскую службу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срок не позднее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трех лет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дня выдачи документа, подтверждающего гибель (смерть) участника специальной военной операции, либо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трех лет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вступления в законную силу решения суда об объявлении гражданина умершим или о признании гражданина безвестно отсутствующим, с предъявлением документа, удостоверяющего личность, и представлением следующих документов: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заявления об оказании единовременной материальной помощи по форме согласно приложению № 1 к настоящему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 - заявление);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копии документа, подтверждающего полномочия уполномоченного представителя (в случае представления документов уполномоченным представителем);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копи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документов (сведени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подтверждающи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гибель (смерть) в период участия в специальной военной операции: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 в отношении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военнослужащих органов федеральной службы безопасно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астках, примыкающих к районам проведения специальной военной операции, представляется справка (извещение) воинской части или военного комиссариата, либо копия решения суда об объявлении гражданина умершим или о признании гражданина безвестно отсутствующим;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 в отношении лиц, пребыв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 представляется: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справка (извещение) воинской части или военного комиссариата, либо копия решения суда об объявлении гражданина умершим или о признании гражданина безвестно отсутствующим;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справки о смерти, выданной органами записи актов гражданского состояния по форме № 11 или по форме № 12, утвержденной приказом Минюста РФ № 200 «Об утверждении форм справок и иных документов, подтверждающих наличие или отсутстви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(далее – приказ Минюста РФ № 200);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документ, подтверждающий убытие для участия в специальной военной операции в составе добровольческого отряда, выданный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воинской частью или военным комиссариат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ом;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 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представляется копия решения суда об объявлении гражданина умер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шим или о признании гражданина безвестно отсутствующим, либо копия справки о смерти, выданной органами записи актов гражданского состояния по форме № 11 или по форме № 12, утвержденной приказом Минюста РФ № 200,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</w:rPr>
        <w:t xml:space="preserve">и документ об участии в специальной военной операции, выданный </w:t>
      </w:r>
      <w:r>
        <w:rPr>
          <w:rFonts w:ascii="Times New Roman" w:hAnsi="Times New Roman"/>
          <w:b w:val="0"/>
          <w:sz w:val="28"/>
          <w:szCs w:val="28"/>
        </w:rPr>
        <w:t xml:space="preserve">филиалом Государственного фонда поддержки участников специальной военной операции «Защитники Отечества»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4) свидетельства о государственной регистрации рож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дения ребенка погибшего (умершего) участника специальной военной операции, выданного компетентным органом иностранного государства, и его нотариально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удостоверенный перевод на русский язык (представляется в отношении ребенка погибшего (умершего) участника специальной военной операции, если свидетельство о государственной регистрации рождения ребенка выдано компетентным органом иностранного государства);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 свидетельства о государственной регистрации рождения погибшего (умершего) участника специальной военной операции, выданного компетентным органом иностранного государства, и его нотариально удостоверенный перевод на русский язык (представляется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родителей погибшего (умершего) участника специальной военной операции, если свидетельство о государственной регистрации рождения погибшего (умершего) участника специальной военной операции выдано компетентным органом иностранного государства);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 свидетельства о государственной регистрации заключения брака с погибшим (умершим) участником специальной военной операции и его нотариально удостовере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нный перевод на русский язык (представляется в отношении супруга (супруги) погибшего (умершего) участника специальной военной операции, если свидетельство о государственной регистрации заключении брака выдано компетентным органом иностранного государства);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 справки, выданной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бразовательной организацией, подтверждающей обучение по очной форме обучения (представляется в отношении ребенка погибшего (умершего) участника специальной военной операции старше 18 лет, обучающегося в образовательной организации по очной форме обучения);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 документа 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ганизации, оказывающей ритуальные услуги (органа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которого произведено погребение), подтверждающего, что погребение погибшего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(умершего) участника специальной военной операции произведены на территории указанного субъекта Российской Федерации);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 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ументов (сведений, решений об отказе в предоставлении выплат по факту гибели (смерти) участника специальной военной операции в связи с отсутствием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права</w:t>
      </w:r>
      <w:r>
        <w:rPr>
          <w:rFonts w:ascii="Times New Roman" w:hAnsi="Times New Roman" w:cs="Times New Roman"/>
          <w:b w:val="0"/>
          <w:strike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подтверждающих факт неполучения иных единовременных выплат, предоставляемых 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деральными органами исполнительной власти, субъектами Российской Федерации, организациями, содействующими выполнению задач, возложенных на Вооруженные Силы Российской Федерации, страховыми организациями (в рамках обязательного государственного страхования)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гибелью (смертью) участника специальной военной операции: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 в отношении </w:t>
      </w:r>
      <w:r>
        <w:rPr>
          <w:rFonts w:eastAsia="Calibri"/>
          <w:sz w:val="28"/>
          <w:szCs w:val="28"/>
        </w:rPr>
        <w:t xml:space="preserve">военнослужащи</w:t>
      </w:r>
      <w:r>
        <w:rPr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, лиц, прох</w:t>
      </w:r>
      <w:r>
        <w:rPr>
          <w:sz w:val="28"/>
          <w:szCs w:val="28"/>
        </w:rPr>
        <w:t xml:space="preserve">одивш</w:t>
      </w:r>
      <w:r>
        <w:rPr>
          <w:rFonts w:eastAsia="Calibri"/>
          <w:sz w:val="28"/>
          <w:szCs w:val="28"/>
        </w:rPr>
        <w:t xml:space="preserve">и</w:t>
      </w:r>
      <w:r>
        <w:rPr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службу в войсках национальной гвардии Российской Федерации и име</w:t>
      </w:r>
      <w:r>
        <w:rPr>
          <w:sz w:val="28"/>
          <w:szCs w:val="28"/>
        </w:rPr>
        <w:t xml:space="preserve">вш</w:t>
      </w:r>
      <w:r>
        <w:rPr>
          <w:rFonts w:eastAsia="Calibri"/>
          <w:sz w:val="28"/>
          <w:szCs w:val="28"/>
        </w:rPr>
        <w:t xml:space="preserve">и</w:t>
      </w:r>
      <w:r>
        <w:rPr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специальные звания полиции, сотрудник</w:t>
      </w:r>
      <w:r>
        <w:rPr>
          <w:sz w:val="28"/>
          <w:szCs w:val="28"/>
        </w:rPr>
        <w:t xml:space="preserve">ов</w:t>
      </w:r>
      <w:r>
        <w:rPr>
          <w:rFonts w:eastAsia="Calibri"/>
          <w:sz w:val="28"/>
          <w:szCs w:val="28"/>
        </w:rPr>
        <w:t xml:space="preserve"> органов внутренних дел Российской Федерации, военнослужащи</w:t>
      </w:r>
      <w:r>
        <w:rPr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органов федеральной службы безопасности, непосредственно выполня</w:t>
      </w:r>
      <w:r>
        <w:rPr>
          <w:sz w:val="28"/>
          <w:szCs w:val="28"/>
        </w:rPr>
        <w:t xml:space="preserve">вш</w:t>
      </w:r>
      <w:r>
        <w:rPr>
          <w:rFonts w:eastAsia="Calibri"/>
          <w:sz w:val="28"/>
          <w:szCs w:val="28"/>
        </w:rPr>
        <w:t xml:space="preserve">и</w:t>
      </w:r>
      <w:r>
        <w:rPr>
          <w:sz w:val="28"/>
          <w:szCs w:val="28"/>
        </w:rPr>
        <w:t xml:space="preserve">х</w:t>
      </w:r>
      <w:r>
        <w:rPr>
          <w:rFonts w:eastAsia="Calibri"/>
          <w:sz w:val="28"/>
          <w:szCs w:val="28"/>
        </w:rPr>
        <w:t xml:space="preserve"> задач</w:t>
      </w:r>
      <w:r>
        <w:rPr>
          <w:rFonts w:eastAsia="Calibri"/>
          <w:sz w:val="28"/>
          <w:szCs w:val="28"/>
        </w:rPr>
        <w:t xml:space="preserve">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</w:t>
      </w:r>
      <w:r>
        <w:rPr>
          <w:sz w:val="28"/>
          <w:szCs w:val="28"/>
        </w:rPr>
        <w:t xml:space="preserve">ия специальной военной операции, </w:t>
      </w:r>
      <w:r>
        <w:rPr>
          <w:rFonts w:eastAsia="Calibri"/>
          <w:sz w:val="28"/>
          <w:szCs w:val="28"/>
        </w:rPr>
        <w:t xml:space="preserve">лиц, пребыв</w:t>
      </w:r>
      <w:r>
        <w:rPr>
          <w:rFonts w:eastAsia="Calibri"/>
          <w:sz w:val="28"/>
          <w:szCs w:val="28"/>
        </w:rPr>
        <w:t xml:space="preserve">ав</w:t>
      </w:r>
      <w:r>
        <w:rPr>
          <w:sz w:val="28"/>
          <w:szCs w:val="28"/>
        </w:rPr>
        <w:t xml:space="preserve">ших</w:t>
      </w:r>
      <w:r>
        <w:rPr>
          <w:rFonts w:eastAsia="Calibri"/>
          <w:sz w:val="28"/>
          <w:szCs w:val="28"/>
        </w:rPr>
        <w:t xml:space="preserve">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</w:t>
      </w:r>
      <w:r>
        <w:rPr>
          <w:sz w:val="28"/>
          <w:szCs w:val="28"/>
        </w:rPr>
        <w:t xml:space="preserve"> представляются документы (сведения, решения), выданные: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4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военным комиссариатом по месту жительства либо по месту заключения контракта либо по месту захоронения</w:t>
      </w:r>
      <w:r>
        <w:rPr>
          <w:rFonts w:cs="Times New Roman"/>
          <w:b w:val="0"/>
          <w:sz w:val="28"/>
          <w:szCs w:val="28"/>
        </w:rPr>
        <w:t xml:space="preserve"> погибшего (умершего) участника специальной военной операции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74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</w:t>
      </w:r>
      <w:r>
        <w:rPr>
          <w:rFonts w:eastAsia="Calibri"/>
          <w:sz w:val="28"/>
          <w:szCs w:val="28"/>
        </w:rPr>
        <w:t xml:space="preserve">войск национальной гвардии Российской Федерации, территориальным органом войск национальной гвардии Российской Федерации, подразделением федеральной службы безопасности, органом федеральной службы безопасности, органами внутренних дел Российской Федерации </w:t>
      </w:r>
      <w:r>
        <w:rPr>
          <w:sz w:val="28"/>
          <w:szCs w:val="28"/>
        </w:rPr>
        <w:t xml:space="preserve">по месту жительства либо по месту заключения контракта либо по месту захоронения</w:t>
      </w:r>
      <w:r>
        <w:rPr>
          <w:rFonts w:cs="Times New Roman"/>
          <w:b w:val="0"/>
          <w:sz w:val="28"/>
          <w:szCs w:val="28"/>
        </w:rPr>
        <w:t xml:space="preserve"> погибшего (умершего) участника специальной военной операции</w:t>
      </w:r>
      <w:r>
        <w:rPr>
          <w:sz w:val="28"/>
          <w:szCs w:val="28"/>
        </w:rPr>
        <w:t xml:space="preserve">);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674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страховой организацией (в рамках обязательного государственного страхования);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 в отношении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представляются документы (сведения, решения), выданные </w:t>
      </w:r>
      <w:r>
        <w:rPr>
          <w:rFonts w:ascii="Times New Roman" w:hAnsi="Times New Roman"/>
          <w:b w:val="0"/>
          <w:sz w:val="28"/>
          <w:szCs w:val="28"/>
        </w:rPr>
        <w:t xml:space="preserve">филиалом Государственного фонда поддержки участников специальной военной операции «Защитники Отечества» в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 Заявители или их уполномоченные представители впра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 представить по собственной инициативе: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копию документа, подтверждающего регистрацию в системе индивидуального (персонифицированного учета);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свидетельство о рождении ребенка погибшего (умершего) участника специальной военной операции;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свидетельство о рождении погибшего (умершего) участника специальной военной операции;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 свидетельство о заключении брака с погибшим (умершим) участником специальной военной операции;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 документы (сведения), подтверждающие факт постоянного проживания или регистрации на территории Новосибирской области погибшего (умершего) участника специальной военной операции на дату его гибели (смерти);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6) документы (сведения), подтверждающие факт постоянного проживания или регистрации на территории Новосибирской области члена семьи погибшего (умершего) участника специальной военной операции на дату гибели (смерти) участника специальной военной операции;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 справку, выданную федер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альным учреждением медико-социальной экспертизы, подтверждающую установление инвалидности до достижения 18-летнего возраста (для детей погибшего (умершего) участника специальной военной операции, которые стали инвалидами до достижения ими возраста 18 лет).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 При непр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едставлении документов (сведений), которые заявитель вправе представить по собственной инициативе, министерство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поступлении в министерство 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формации о захоронении погибшего (умершего) участника специальной военной операции на территории иного субъекта Российской Федерации, наличии у погибшего (умершего) участника специальной военной операции регистрации по месту жительства или месту пребывания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дату гибели (смерти) на территории иного субъекта Российской Федерации, наличии у члена семьи погибшего (умершего) участника специальной военной операции в период с даты гибели (смерти) участника специальной военной операции до даты подачи заявления 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гистрации по месту жительства или месту пребывания на территории иного субъекта Российской Федерации, министерством в указанном субъекте Российской Федерации запрашивается информация о получении гражданином единовременной выплаты по аналогичному основанию.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представления копий документов, не заверенных в установленном законодательством порядке, заявителем представляются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подлинники, которые после заверения соответствующих копий документов в министерстве возвращаются заявителю.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если для принятия решения об оказании единоврем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енной материальной помощи необходима обработка персональных данных лица, не являющегося заявителем, и если обработка таких персональных данных может осуществляться с согласия указанного лица, при обращении за единовременной материальной помощью заявитель 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ополнительно представляет документы, подтверждающие получение согласия указанного лица или его уполномоченного представителя на обработку персональных данных указанного лица, а также документы, подтверждающие полномочия заявителя действовать от имени указа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нного лица или его уполномоченного представителя при передаче персональных данных указанного лица в министерство.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9. Заявление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shd w:val="clear" w:color="auto" w:fill="ffffff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</w:rPr>
        <w:t xml:space="preserve">егистрируется в день представления его заявителем.</w:t>
      </w:r>
      <w:r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trike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10. Заявитель несет ответственность за неполноту и недостоверность сведений, указанных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заявлении, в соответствии с законодательством Российской Федерации.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 Решение об оказании единовременной материальной помощи или об отказе в оказании единовременной материальной помощи (далее </w:t>
        <w:noBreakHyphen/>
        <w:t xml:space="preserve"> решение) принимается министерством в течение десяти рабочих дней со дня регистрации заявления.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Течение срока принятия решения приостанавливается в случае непоступления запрашиваемых сведений в рамках межведомственного информационного взаимодействия. При этом решение выносится не позднее 30 рабочих дней со дня регистрации заявления.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 Основанием для отказа в оказании единовременной материальной помощи членам семьи погибшего (умершего) участника специальной военной операции является: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непредставление (представление не в полном объеме) документов, указанных в пункте 6 настоящего порядка;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заявитель не относится к членам семьи погибшего (умершего) участника специальной военной операции, указанным в пункте 5 настоящего порядка;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заявление подано за рамками срока, установленного в абзаце первом пункта 6 настоящего порядка;</w:t>
      </w:r>
      <w:r>
        <w:rPr>
          <w:highlight w:val="none"/>
        </w:rPr>
      </w:r>
      <w:r>
        <w:rPr>
          <w:highlight w:val="none"/>
        </w:rPr>
      </w:r>
    </w:p>
    <w:p>
      <w:pPr>
        <w:pStyle w:val="674"/>
        <w:ind w:firstLine="709"/>
        <w:jc w:val="both"/>
        <w:rPr>
          <w:color w:val="000000" w:themeColor="text1"/>
          <w:highlight w:val="none"/>
        </w:rPr>
      </w:pPr>
      <w:r>
        <w:rPr>
          <w:sz w:val="28"/>
          <w:szCs w:val="28"/>
        </w:rPr>
        <w:t xml:space="preserve">4) заявитель (члены семьи) воспользовался (воспользовались) правом на получение единовременной выплаты, предост</w:t>
      </w:r>
      <w:r>
        <w:rPr>
          <w:sz w:val="28"/>
          <w:szCs w:val="28"/>
        </w:rPr>
        <w:t xml:space="preserve">авляемой в св</w:t>
      </w:r>
      <w:r>
        <w:rPr>
          <w:sz w:val="28"/>
          <w:szCs w:val="28"/>
        </w:rPr>
        <w:t xml:space="preserve">язи гибелью (смертью) участника специальной военной операции федеральными органами исполнительной власти, либо субъектами Российской Федерации, либо организациями, содействующими выполнению задач, возложенных на Вооруженные Силы Российской Федерации, либо </w:t>
      </w:r>
      <w:r>
        <w:rPr>
          <w:color w:val="000000" w:themeColor="text1"/>
          <w:sz w:val="28"/>
          <w:szCs w:val="28"/>
        </w:rPr>
        <w:t xml:space="preserve">страховыми организациями </w:t>
      </w:r>
      <w:r>
        <w:rPr>
          <w:rFonts w:eastAsia="Calibri"/>
          <w:color w:val="000000" w:themeColor="text1"/>
          <w:sz w:val="28"/>
          <w:szCs w:val="28"/>
        </w:rPr>
        <w:t xml:space="preserve">(в рамках обязательного государственного страхования)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5) отсутствие права на получение единовременной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материальной помощи в соответствии с настоящим порядком.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 В случае принятия решения об отказе в оказани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единовременной материальной помощи министерством в течение трех рабочих дней со дня его принятия посредством почтовой связи заявителю направляется уведомление, содержащее аргументированное обоснование отказа в оказании единовременной материальной помощи.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 Заявитель, получивший отказ в оказании единовременной материальной помощи, имеет право на повторное обращение в министерство в случае устранения обстоятельств, послуживших основанием для отказа.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 Единовременная материальная помощь членам семьи погибших (умерших) участников специальной военной операции оказывается в равных долях каждому члену семьи погибшего (умершего) участника специальной военной операции, подавшему заявление.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Если заявителем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является родитель несовершеннолетнего ребенка погибшего (умершего) участника специальной военной операции, единовременная материальная помощь оказывается с учетом долей самого заявителя и ребенка погибшего (умершего) участника специальной военной операции.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Количество членов семьи погибшего (умершего) участника специальной военной операции определяется исходя из членов семьи погибшего (умершего) участника специальной военной операции, перечисленных заявителем в заявлении.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истечении срока для подачи документов, установленного абзацем первым пункта 6 настоящего порядка, заявитель впр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аве обратиться за предоставлением невостребованной доли единовременной материальной помощи в случае, если иные члены семьи не обращались за оказанием материальной помощи, а также не воспользовались правом на получение единовременных выплат, 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органами исполнительной власти, субъектами Российской 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едерации, организациями, содействующими выполнению задач, возложенных на Вооруженные Силы Российской Федерации, страховыми организациями (в рамках обязательного государственного страхования) в связи гибелью (смертью) участника специальной военной операции.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наличии обстоятельств, препятствующих реализации получения членом семьи погибшего (умершего) участника специальной военной единовременной материальной помощи ввиду отсутствия указанного права члены семьи погибшего (умершего) участника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специальной военной вправе обратиться за предоставлением невостребованной доли единовременной материальной помощи до истечения срока для подачи документов, установленного абзацем первым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пункта 6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нас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тоящего порядка. Невостребованная доля единовременной мате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риальной помощи предоставляется при представлении информации (документа), подтверждающих наличие обстоятельств, препятствующих реализации получения членом семьи погибшего (умершего) участника специальной военной операции единовременной материальной помощи.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Невостребованная доля единовременной мат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ериальной помощи предоставляется по заявлению о предоставлении невостребованной доли единовременной материальной помощи, представляемому по форме согласно приложению № 2 к настоящему порядку. Министерством производится расчет невостребованной доли единовре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менной материальной помощи в равных долях каждому члену семьи погибшего (умершего) участника специальной военной, обратившемуся с заявлением о предоставлении невостребованной доли единовременной материальной помощи. Единовременная материальная помощь выпла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чивается в сумме, определенной с учетом доли, выплаченной заявителю первоначально. При этом общая сумма единовременной материальной помощи, выплаченной всем членам семьи погибшего (умершего) участника специальной военной, не может превышать 100 000 рублей.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ус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тановления обстоятельств представления гражданином в заявлении, указанном в подпункте 1 пункта 6 настоящего порядка, недостоверных сведений о составе семьи, на основании которых министерством было принято решение об оказании единовременной материальной пом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ощи, министерством осуществляется перерасчет суммы, излишне выплаченной гражданину. Гражданин вправе самостоятельно возместить неправомерно полученные суммы единовременной материальной помощи, в противном случае взыскание осуществляется в судебном порядке.</w:t>
      </w:r>
      <w:r/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center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к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порядку предоставления единовременной материальной помощи отдельным категориям членов семьи погибших (умерших, признанных в установленном порядке безвестно отсутствующими или объявленных умершими) в ходе специальной военной операции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contextualSpacing/>
        <w:ind w:left="411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4"/>
        <w:ind w:left="4111" w:right="0"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74"/>
        <w:ind w:left="0" w:right="0" w:firstLine="425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425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Министру 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425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left="0"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(фамилия, имя, отчество (при наличии)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425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проживающего(ей) по адресу: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4253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425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(иной документ, удостоверяющий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личность): серия _________ номер 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лицевого счета (СНИЛС) 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единовременной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 № _____ «О единовременной материальной помощи отдельным категориям членов семьи погибших (умерших, признанных в установленном порядке безвестно отсутствующими или объявленных умершими) в ходе специальной военной операции» (далее – постановление) прошу</w:t>
      </w:r>
      <w:r>
        <w:rPr>
          <w:rFonts w:ascii="Times New Roman" w:hAnsi="Times New Roman" w:cs="Times New Roman"/>
          <w:sz w:val="28"/>
          <w:szCs w:val="28"/>
        </w:rPr>
        <w:t xml:space="preserve"> оказать мне 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(фамилия, имя, отчество (при наличии), дата рождения, данные паспорта)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члену семьи (супруге (у), отцу, матери, ребенку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погибшего (умершего)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(нужное подчеркнуть)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t xml:space="preserve">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погибшего (умершего), дата рождения, дата смерти)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единовременную материальную помощь.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перечислить единовременную материальную помощь на счет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(номер счета)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в 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кредитной организации)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 20___г. _________________ 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left="0"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(подпись)       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указанных в заявлении персональных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члены семьи, имеющие право на единовременную материальную помощь в соответствии с постановлением: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все члены семьи, имеющие право на единовременную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материальную помощь, известные заявителю)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в заявлении указаны все известные мне лица, имеющие право на получение единовременной материальной помощи в соответствии с постановлением.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 20___г. _________________ 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left="0"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(подпись)       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left="0" w:right="0" w:firstLine="48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</w:r>
      <w:r>
        <w:rPr>
          <w:rFonts w:ascii="Times New Roman" w:hAnsi="Times New Roman" w:cs="Times New Roman"/>
          <w:sz w:val="28"/>
          <w:szCs w:val="28"/>
          <w:highlight w:val="green"/>
        </w:rPr>
      </w:r>
      <w:r>
        <w:rPr>
          <w:rFonts w:ascii="Times New Roman" w:hAnsi="Times New Roman" w:cs="Times New Roman"/>
          <w:sz w:val="28"/>
          <w:szCs w:val="28"/>
          <w:highlight w:val="green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я и другие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известные мне лица, не получали по факту гибели (смерти)_________________________________________________________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2"/>
        <w:ind w:lef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</w:rPr>
        <w:t xml:space="preserve">(фамилия, имя, отчество погибшего (умершего)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единовременные выплаты, предоставляемые федеральными органами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субъектами Российской Федерации, организациями, содействующими выполнению задач, возложенных на Вооруженные Силы Российской Федерации, страховыми организациями в связи гибелью (смертью) _______________________________________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2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(фамилия, имя, отчество погибшего (умершего)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 20___г. _________________ 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(подпись)                 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63"/>
        <w:ind w:right="-1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  <w:t xml:space="preserve">ПРИЛОЖЕНИЕ № 2</w:t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  <w:t xml:space="preserve">к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порядку предоставления единовременной материальной помощи отдельным категориям членов семьи погибших (умерших, признанных в установленном порядке безвестно отсутствующими или объявленных умершими) в ходе специальной военной операции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4"/>
        <w:ind w:firstLine="4253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Министру труда и социального развития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4253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(при наличии) заявителя)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firstLine="4253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left="4253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4"/>
        <w:ind w:firstLine="4253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(иной документ, удостоверяющий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_________ номер 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лицевого счета (СНИЛС) 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невостребованной доли единовременной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 ______ № _____ «О единовременной материальной помощи отдельным категориям членов семьи погибших (умерших, признанных в установленном порядке безвестно отсутствующими или объявленных умершими) в ходе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 - постановление) прошу выплатить мне__________________________________________________________________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(при наличии), дата рождения, данные паспорта)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члену семьи (супруге (у), отцу, матери, ребенку,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  <w:t xml:space="preserve">погибшего (умершего) (нужное подчеркнуть)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</w:pPr>
      <w:r>
        <w:t xml:space="preserve">__________________________________________________________________________________</w:t>
      </w:r>
      <w:r/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погибшего (умершего), дата рождения, дата смерти)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востребованную долю единовременной материальной помощи, не полученную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</w:pPr>
      <w:r>
        <w:t xml:space="preserve">_________________________________________________________________________________</w:t>
      </w:r>
      <w:r/>
    </w:p>
    <w:p>
      <w:pPr>
        <w:pStyle w:val="762"/>
        <w:jc w:val="center"/>
      </w:pPr>
      <w:r>
        <w:rPr>
          <w:rFonts w:ascii="Times New Roman" w:hAnsi="Times New Roman" w:cs="Times New Roman"/>
        </w:rPr>
        <w:t xml:space="preserve">(фамилия, имя, отчество (при наличии) члена семьи, исключаемого из расчета долей единовременной материальной помощи)</w:t>
      </w:r>
      <w:r/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обстоятельство, в связи с которым подается заявление)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(указывается документ, подтверждающий обстоятельства невозможности получения доли единовременной материальной помощи членом семьи 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перечислить невостребованную долю единовременной материальной помощи на счет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счета)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в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кредитной организации)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 20___г. _________________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(подпись)                              (расшифровка подписи)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указанных в заявлении персональных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члены семьи, имеющие право на невостребованную долю единовременной материальной помощи: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все члены семьи, имеющие право на невостребованную долю единовременной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материальной помощи, известные заявителю)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в заявлении указаны все известные мне лица, имеющие право на получение единовременной материальной помощи в соответствии с постановлением.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не разъяснено, что надлежит вернуть излишне выплаченную мне сумму единовременной материальной помощи в случае обращения в соответствии с постановлением за назначением единовременной материальной помощи иных членов семьи, не указанных в настоящем заявлении.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не воспользовался правом на получение единовременной выплаты, предоставляемой в ином субъекте Российской Федерации в связи с гибелью (смертью)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участника специальной операции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6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 20___г. _________________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2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(подпись)                              (расшифровка подписи)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4111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964" w:right="566" w:bottom="851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13</w:t>
    </w:r>
    <w:r>
      <w:fldChar w:fldCharType="end"/>
    </w:r>
    <w:r/>
  </w:p>
  <w:p>
    <w:pPr>
      <w:pStyle w:val="744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75">
    <w:name w:val="Heading 1"/>
    <w:basedOn w:val="674"/>
    <w:next w:val="674"/>
    <w:link w:val="722"/>
    <w:qFormat/>
    <w:pPr>
      <w:jc w:val="right"/>
      <w:keepNext/>
      <w:outlineLvl w:val="0"/>
    </w:pPr>
    <w:rPr>
      <w:sz w:val="28"/>
      <w:lang w:val="en-US"/>
    </w:rPr>
  </w:style>
  <w:style w:type="paragraph" w:styleId="676">
    <w:name w:val="Heading 2"/>
    <w:basedOn w:val="674"/>
    <w:next w:val="674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2 Char"/>
    <w:basedOn w:val="698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basedOn w:val="698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69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69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6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69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69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698"/>
    <w:uiPriority w:val="10"/>
    <w:qFormat/>
    <w:rPr>
      <w:sz w:val="48"/>
      <w:szCs w:val="48"/>
    </w:rPr>
  </w:style>
  <w:style w:type="character" w:styleId="693">
    <w:name w:val="Subtitle Char"/>
    <w:basedOn w:val="698"/>
    <w:uiPriority w:val="11"/>
    <w:qFormat/>
    <w:rPr>
      <w:sz w:val="24"/>
      <w:szCs w:val="24"/>
    </w:rPr>
  </w:style>
  <w:style w:type="character" w:styleId="694">
    <w:name w:val="Quote Char"/>
    <w:link w:val="741"/>
    <w:uiPriority w:val="29"/>
    <w:qFormat/>
    <w:rPr>
      <w:i/>
    </w:rPr>
  </w:style>
  <w:style w:type="character" w:styleId="695">
    <w:name w:val="Intense Quote Char"/>
    <w:link w:val="742"/>
    <w:uiPriority w:val="30"/>
    <w:qFormat/>
    <w:rPr>
      <w:i/>
    </w:rPr>
  </w:style>
  <w:style w:type="character" w:styleId="696">
    <w:name w:val="Footnote Text Char"/>
    <w:uiPriority w:val="99"/>
    <w:qFormat/>
    <w:rPr>
      <w:sz w:val="18"/>
    </w:rPr>
  </w:style>
  <w:style w:type="character" w:styleId="697">
    <w:name w:val="Endnote Text Char"/>
    <w:uiPriority w:val="99"/>
    <w:qFormat/>
    <w:rPr>
      <w:sz w:val="20"/>
    </w:rPr>
  </w:style>
  <w:style w:type="character" w:styleId="698" w:default="1">
    <w:name w:val="Default Paragraph Font"/>
    <w:uiPriority w:val="1"/>
    <w:semiHidden/>
    <w:unhideWhenUsed/>
    <w:qFormat/>
  </w:style>
  <w:style w:type="character" w:styleId="69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Название Знак"/>
    <w:uiPriority w:val="10"/>
    <w:qFormat/>
    <w:rPr>
      <w:sz w:val="48"/>
      <w:szCs w:val="48"/>
    </w:rPr>
  </w:style>
  <w:style w:type="character" w:styleId="709" w:customStyle="1">
    <w:name w:val="Подзаголовок Знак"/>
    <w:uiPriority w:val="11"/>
    <w:qFormat/>
    <w:rPr>
      <w:sz w:val="24"/>
      <w:szCs w:val="24"/>
    </w:rPr>
  </w:style>
  <w:style w:type="character" w:styleId="710" w:customStyle="1">
    <w:name w:val="Цитата 2 Знак"/>
    <w:link w:val="741"/>
    <w:uiPriority w:val="29"/>
    <w:qFormat/>
    <w:rPr>
      <w:i/>
    </w:rPr>
  </w:style>
  <w:style w:type="character" w:styleId="711" w:customStyle="1">
    <w:name w:val="Выделенная цитата Знак"/>
    <w:link w:val="742"/>
    <w:uiPriority w:val="30"/>
    <w:qFormat/>
    <w:rPr>
      <w:i/>
    </w:rPr>
  </w:style>
  <w:style w:type="character" w:styleId="712" w:customStyle="1">
    <w:name w:val="Header Char"/>
    <w:uiPriority w:val="99"/>
    <w:qFormat/>
  </w:style>
  <w:style w:type="character" w:styleId="713" w:customStyle="1">
    <w:name w:val="Footer Char"/>
    <w:uiPriority w:val="99"/>
    <w:qFormat/>
  </w:style>
  <w:style w:type="character" w:styleId="714" w:customStyle="1">
    <w:name w:val="Caption Char"/>
    <w:uiPriority w:val="99"/>
    <w:qFormat/>
  </w:style>
  <w:style w:type="character" w:styleId="715">
    <w:name w:val="Hyperlink"/>
    <w:uiPriority w:val="99"/>
    <w:unhideWhenUsed/>
    <w:rPr>
      <w:color w:val="0000ff"/>
      <w:u w:val="single"/>
    </w:rPr>
  </w:style>
  <w:style w:type="character" w:styleId="716" w:customStyle="1">
    <w:name w:val="Текст сноски Знак"/>
    <w:uiPriority w:val="99"/>
    <w:qFormat/>
    <w:rPr>
      <w:sz w:val="18"/>
    </w:rPr>
  </w:style>
  <w:style w:type="character" w:styleId="717">
    <w:name w:val="Символ сноски"/>
    <w:uiPriority w:val="99"/>
    <w:unhideWhenUsed/>
    <w:qFormat/>
    <w:rPr>
      <w:vertAlign w:val="superscript"/>
    </w:rPr>
  </w:style>
  <w:style w:type="character" w:styleId="718">
    <w:name w:val="footnote reference"/>
    <w:rPr>
      <w:vertAlign w:val="superscript"/>
    </w:rPr>
  </w:style>
  <w:style w:type="character" w:styleId="719" w:customStyle="1">
    <w:name w:val="Текст концевой сноски Знак"/>
    <w:uiPriority w:val="99"/>
    <w:qFormat/>
    <w:rPr>
      <w:sz w:val="20"/>
    </w:rPr>
  </w:style>
  <w:style w:type="character" w:styleId="72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1">
    <w:name w:val="endnote reference"/>
    <w:rPr>
      <w:vertAlign w:val="superscript"/>
    </w:rPr>
  </w:style>
  <w:style w:type="character" w:styleId="722" w:customStyle="1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23" w:customStyle="1">
    <w:name w:val="Текст выноски Знак"/>
    <w:link w:val="760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24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5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6">
    <w:name w:val="annotation reference"/>
    <w:uiPriority w:val="99"/>
    <w:semiHidden/>
    <w:unhideWhenUsed/>
    <w:qFormat/>
    <w:rPr>
      <w:sz w:val="16"/>
      <w:szCs w:val="16"/>
    </w:rPr>
  </w:style>
  <w:style w:type="character" w:styleId="727" w:customStyle="1">
    <w:name w:val="Текст примечания Знак"/>
    <w:link w:val="764"/>
    <w:uiPriority w:val="99"/>
    <w:semiHidden/>
    <w:qFormat/>
    <w:rPr>
      <w:rFonts w:ascii="Times New Roman" w:hAnsi="Times New Roman" w:eastAsia="Times New Roman"/>
    </w:rPr>
  </w:style>
  <w:style w:type="character" w:styleId="728">
    <w:name w:val="Strong"/>
    <w:uiPriority w:val="22"/>
    <w:qFormat/>
    <w:rPr>
      <w:b/>
      <w:bCs/>
    </w:rPr>
  </w:style>
  <w:style w:type="character" w:styleId="729" w:customStyle="1">
    <w:name w:val="ConsPlusNormal Знак"/>
    <w:link w:val="763"/>
    <w:qFormat/>
    <w:rPr>
      <w:rFonts w:cs="Calibri"/>
      <w:b/>
      <w:bCs/>
      <w:sz w:val="22"/>
      <w:szCs w:val="22"/>
    </w:rPr>
  </w:style>
  <w:style w:type="character" w:styleId="730" w:customStyle="1">
    <w:name w:val="Основной текст Знак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731" w:customStyle="1">
    <w:name w:val="Тема примечания Знак"/>
    <w:link w:val="766"/>
    <w:uiPriority w:val="99"/>
    <w:semiHidden/>
    <w:qFormat/>
    <w:rPr>
      <w:rFonts w:ascii="Times New Roman" w:hAnsi="Times New Roman" w:eastAsia="Times New Roman"/>
      <w:b/>
      <w:bCs/>
    </w:rPr>
  </w:style>
  <w:style w:type="paragraph" w:styleId="732">
    <w:name w:val="Заголовок"/>
    <w:basedOn w:val="674"/>
    <w:next w:val="73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33">
    <w:name w:val="Body Text"/>
    <w:basedOn w:val="674"/>
    <w:link w:val="730"/>
    <w:uiPriority w:val="99"/>
    <w:pPr>
      <w:jc w:val="both"/>
    </w:pPr>
    <w:rPr>
      <w:sz w:val="28"/>
      <w:szCs w:val="28"/>
    </w:rPr>
  </w:style>
  <w:style w:type="paragraph" w:styleId="734">
    <w:name w:val="List"/>
    <w:basedOn w:val="733"/>
    <w:rPr>
      <w:rFonts w:cs="Droid Sans Devanagari"/>
    </w:rPr>
  </w:style>
  <w:style w:type="paragraph" w:styleId="735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36">
    <w:name w:val="Указатель"/>
    <w:basedOn w:val="674"/>
    <w:qFormat/>
    <w:pPr>
      <w:suppressLineNumbers/>
    </w:pPr>
    <w:rPr>
      <w:rFonts w:cs="Droid Sans Devanagari"/>
    </w:rPr>
  </w:style>
  <w:style w:type="paragraph" w:styleId="737">
    <w:name w:val="List Paragraph"/>
    <w:basedOn w:val="674"/>
    <w:uiPriority w:val="34"/>
    <w:qFormat/>
    <w:pPr>
      <w:contextualSpacing/>
      <w:ind w:left="720" w:firstLine="0"/>
      <w:spacing w:before="0" w:after="0"/>
    </w:pPr>
  </w:style>
  <w:style w:type="paragraph" w:styleId="738">
    <w:name w:val="No Spacing"/>
    <w:uiPriority w:val="1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39">
    <w:name w:val="Title"/>
    <w:basedOn w:val="674"/>
    <w:next w:val="674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0">
    <w:name w:val="Subtitle"/>
    <w:basedOn w:val="674"/>
    <w:next w:val="674"/>
    <w:link w:val="709"/>
    <w:uiPriority w:val="11"/>
    <w:qFormat/>
    <w:pPr>
      <w:spacing w:before="200" w:after="200"/>
    </w:pPr>
    <w:rPr>
      <w:sz w:val="24"/>
      <w:szCs w:val="24"/>
    </w:rPr>
  </w:style>
  <w:style w:type="paragraph" w:styleId="741">
    <w:name w:val="Quote"/>
    <w:basedOn w:val="674"/>
    <w:next w:val="674"/>
    <w:link w:val="710"/>
    <w:uiPriority w:val="29"/>
    <w:qFormat/>
    <w:pPr>
      <w:ind w:left="720" w:right="720" w:firstLine="0"/>
    </w:pPr>
    <w:rPr>
      <w:i/>
    </w:rPr>
  </w:style>
  <w:style w:type="paragraph" w:styleId="742">
    <w:name w:val="Intense Quote"/>
    <w:basedOn w:val="674"/>
    <w:next w:val="674"/>
    <w:link w:val="711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3">
    <w:name w:val="Колонтитул"/>
    <w:basedOn w:val="674"/>
    <w:qFormat/>
  </w:style>
  <w:style w:type="paragraph" w:styleId="744">
    <w:name w:val="Header"/>
    <w:basedOn w:val="674"/>
    <w:link w:val="72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745">
    <w:name w:val="Footer"/>
    <w:basedOn w:val="674"/>
    <w:link w:val="72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746">
    <w:name w:val="footnote text"/>
    <w:basedOn w:val="674"/>
    <w:link w:val="716"/>
    <w:uiPriority w:val="99"/>
    <w:semiHidden/>
    <w:unhideWhenUsed/>
    <w:pPr>
      <w:spacing w:before="0" w:after="40"/>
    </w:pPr>
    <w:rPr>
      <w:sz w:val="18"/>
    </w:rPr>
  </w:style>
  <w:style w:type="paragraph" w:styleId="747">
    <w:name w:val="endnote text"/>
    <w:basedOn w:val="674"/>
    <w:link w:val="719"/>
    <w:uiPriority w:val="99"/>
    <w:semiHidden/>
    <w:unhideWhenUsed/>
  </w:style>
  <w:style w:type="paragraph" w:styleId="748">
    <w:name w:val="toc 1"/>
    <w:basedOn w:val="674"/>
    <w:next w:val="674"/>
    <w:uiPriority w:val="39"/>
    <w:unhideWhenUsed/>
    <w:pPr>
      <w:spacing w:before="0" w:after="57"/>
    </w:pPr>
  </w:style>
  <w:style w:type="paragraph" w:styleId="749">
    <w:name w:val="toc 2"/>
    <w:basedOn w:val="674"/>
    <w:next w:val="674"/>
    <w:uiPriority w:val="39"/>
    <w:unhideWhenUsed/>
    <w:pPr>
      <w:ind w:left="283" w:firstLine="0"/>
      <w:spacing w:before="0" w:after="57"/>
    </w:pPr>
  </w:style>
  <w:style w:type="paragraph" w:styleId="750">
    <w:name w:val="toc 3"/>
    <w:basedOn w:val="674"/>
    <w:next w:val="674"/>
    <w:uiPriority w:val="39"/>
    <w:unhideWhenUsed/>
    <w:pPr>
      <w:ind w:left="567" w:firstLine="0"/>
      <w:spacing w:before="0" w:after="57"/>
    </w:pPr>
  </w:style>
  <w:style w:type="paragraph" w:styleId="751">
    <w:name w:val="toc 4"/>
    <w:basedOn w:val="674"/>
    <w:next w:val="674"/>
    <w:uiPriority w:val="39"/>
    <w:unhideWhenUsed/>
    <w:pPr>
      <w:ind w:left="850" w:firstLine="0"/>
      <w:spacing w:before="0" w:after="57"/>
    </w:pPr>
  </w:style>
  <w:style w:type="paragraph" w:styleId="752">
    <w:name w:val="toc 5"/>
    <w:basedOn w:val="674"/>
    <w:next w:val="674"/>
    <w:uiPriority w:val="39"/>
    <w:unhideWhenUsed/>
    <w:pPr>
      <w:ind w:left="1134" w:firstLine="0"/>
      <w:spacing w:before="0" w:after="57"/>
    </w:pPr>
  </w:style>
  <w:style w:type="paragraph" w:styleId="753">
    <w:name w:val="toc 6"/>
    <w:basedOn w:val="674"/>
    <w:next w:val="674"/>
    <w:uiPriority w:val="39"/>
    <w:unhideWhenUsed/>
    <w:pPr>
      <w:ind w:left="1417" w:firstLine="0"/>
      <w:spacing w:before="0" w:after="57"/>
    </w:pPr>
  </w:style>
  <w:style w:type="paragraph" w:styleId="754">
    <w:name w:val="toc 7"/>
    <w:basedOn w:val="674"/>
    <w:next w:val="674"/>
    <w:uiPriority w:val="39"/>
    <w:unhideWhenUsed/>
    <w:pPr>
      <w:ind w:left="1701" w:firstLine="0"/>
      <w:spacing w:before="0" w:after="57"/>
    </w:pPr>
  </w:style>
  <w:style w:type="paragraph" w:styleId="755">
    <w:name w:val="toc 8"/>
    <w:basedOn w:val="674"/>
    <w:next w:val="674"/>
    <w:uiPriority w:val="39"/>
    <w:unhideWhenUsed/>
    <w:pPr>
      <w:ind w:left="1984" w:firstLine="0"/>
      <w:spacing w:before="0" w:after="57"/>
    </w:pPr>
  </w:style>
  <w:style w:type="paragraph" w:styleId="756">
    <w:name w:val="toc 9"/>
    <w:basedOn w:val="674"/>
    <w:next w:val="674"/>
    <w:uiPriority w:val="39"/>
    <w:unhideWhenUsed/>
    <w:pPr>
      <w:ind w:left="2268" w:firstLine="0"/>
      <w:spacing w:before="0" w:after="57"/>
    </w:pPr>
  </w:style>
  <w:style w:type="paragraph" w:styleId="757">
    <w:name w:val="Index Heading"/>
    <w:basedOn w:val="732"/>
  </w:style>
  <w:style w:type="paragraph" w:styleId="75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59">
    <w:name w:val="table of figures"/>
    <w:basedOn w:val="674"/>
    <w:next w:val="674"/>
    <w:uiPriority w:val="99"/>
    <w:unhideWhenUsed/>
    <w:qFormat/>
  </w:style>
  <w:style w:type="paragraph" w:styleId="760">
    <w:name w:val="Balloon Text"/>
    <w:basedOn w:val="674"/>
    <w:link w:val="723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761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762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63" w:customStyle="1">
    <w:name w:val="ConsPlusNormal"/>
    <w:link w:val="729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764">
    <w:name w:val="annotation text"/>
    <w:basedOn w:val="674"/>
    <w:link w:val="727"/>
    <w:uiPriority w:val="99"/>
    <w:semiHidden/>
    <w:unhideWhenUsed/>
    <w:qFormat/>
  </w:style>
  <w:style w:type="paragraph" w:styleId="765" w:customStyle="1">
    <w:name w:val="заголовок 1"/>
    <w:basedOn w:val="674"/>
    <w:next w:val="674"/>
    <w:uiPriority w:val="99"/>
    <w:qFormat/>
    <w:pPr>
      <w:jc w:val="center"/>
      <w:keepNext/>
      <w:outlineLvl w:val="0"/>
    </w:pPr>
    <w:rPr>
      <w:b/>
      <w:bCs/>
      <w:sz w:val="28"/>
      <w:szCs w:val="28"/>
    </w:rPr>
  </w:style>
  <w:style w:type="paragraph" w:styleId="766">
    <w:name w:val="annotation subject"/>
    <w:basedOn w:val="764"/>
    <w:next w:val="764"/>
    <w:link w:val="731"/>
    <w:uiPriority w:val="99"/>
    <w:semiHidden/>
    <w:unhideWhenUsed/>
    <w:qFormat/>
    <w:rPr>
      <w:b/>
      <w:bCs/>
    </w:rPr>
  </w:style>
  <w:style w:type="numbering" w:styleId="767" w:default="1">
    <w:name w:val="No List"/>
    <w:uiPriority w:val="99"/>
    <w:semiHidden/>
    <w:unhideWhenUsed/>
    <w:qFormat/>
  </w:style>
  <w:style w:type="table" w:styleId="76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"/>
    <w:basedOn w:val="768"/>
    <w:uiPriority w:val="59"/>
    <w:pPr>
      <w:jc w:val="both"/>
    </w:pPr>
    <w:tblPr/>
  </w:style>
  <w:style w:type="table" w:styleId="770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D145-0516-4A43-A8D9-B4E8FAB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dc:language>ru-RU</dc:language>
  <cp:revision>42</cp:revision>
  <dcterms:created xsi:type="dcterms:W3CDTF">2023-06-02T03:07:00Z</dcterms:created>
  <dcterms:modified xsi:type="dcterms:W3CDTF">2024-11-14T06:56:21Z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