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ind w:left="4956" w:firstLine="1281"/>
        <w:jc w:val="center"/>
        <w:rPr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постановления 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ind w:left="4956" w:firstLine="128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 внесении изменений в постановление администрации Новосибирской области 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none"/>
        </w:rPr>
        <w:t xml:space="preserve">т 17.05.2005 № 1</w:t>
      </w:r>
      <w:r>
        <w:rPr>
          <w:color w:val="000000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672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 о с т а н о в л я 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672"/>
        <w:ind w:firstLine="709"/>
        <w:jc w:val="both"/>
        <w:spacing w:line="57" w:lineRule="atLeast"/>
        <w:rPr>
          <w:highlight w:val="white"/>
        </w:rPr>
      </w:pPr>
      <w:r>
        <w:rPr>
          <w:color w:val="000000"/>
          <w:sz w:val="28"/>
          <w:highlight w:val="white"/>
        </w:rPr>
        <w:t xml:space="preserve">Внести в постановление администрации Новосибирской области от 17.05.2005 № 1 «О Порядке предоставления мер социальной поддержки лицам, подвергшимся политическим репрессиям и признанным реабилитированными» 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672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color w:val="000000"/>
          <w:sz w:val="28"/>
          <w:szCs w:val="28"/>
          <w:highlight w:val="white"/>
        </w:rPr>
        <w:t xml:space="preserve">В пункт</w:t>
      </w:r>
      <w:r>
        <w:rPr>
          <w:color w:val="000000"/>
          <w:sz w:val="28"/>
          <w:szCs w:val="28"/>
          <w:highlight w:val="white"/>
        </w:rPr>
        <w:t xml:space="preserve">ах 2, 3</w:t>
      </w:r>
      <w:r>
        <w:rPr>
          <w:color w:val="000000"/>
          <w:sz w:val="28"/>
          <w:szCs w:val="28"/>
          <w:highlight w:val="white"/>
        </w:rPr>
        <w:t xml:space="preserve"> слова «(Бахарева Е.В.)» исключить.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В пункте 4 слова «Нелюбова С.А.» заменить словами «Хальзова К.В.»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 В </w:t>
      </w:r>
      <w:r>
        <w:rPr>
          <w:color w:val="000000"/>
          <w:sz w:val="28"/>
          <w:highlight w:val="white"/>
        </w:rPr>
        <w:t xml:space="preserve">Порядке предоставления мер социальной поддержки лицам, подвергшимся политическим репрессиям и признанным реабилитированными: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672"/>
        <w:ind w:firstLine="709"/>
        <w:jc w:val="both"/>
        <w:rPr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white"/>
        </w:rPr>
        <w:t xml:space="preserve">) в абзаце пе</w:t>
      </w:r>
      <w:r>
        <w:rPr>
          <w:color w:val="000000"/>
          <w:sz w:val="28"/>
          <w:szCs w:val="28"/>
          <w:highlight w:val="white"/>
        </w:rPr>
        <w:t xml:space="preserve">р</w:t>
      </w:r>
      <w:r>
        <w:rPr>
          <w:color w:val="000000"/>
          <w:sz w:val="28"/>
          <w:szCs w:val="28"/>
          <w:highlight w:val="white"/>
        </w:rPr>
        <w:t xml:space="preserve">вом раздела 1 слова </w:t>
      </w:r>
      <w:r>
        <w:rPr>
          <w:color w:val="000000"/>
          <w:sz w:val="28"/>
          <w:szCs w:val="28"/>
          <w:highlight w:val="white"/>
        </w:rPr>
        <w:t xml:space="preserve">«денежная компенсация </w:t>
        <w:br/>
        <w:t xml:space="preserve">(далее </w:t>
      </w:r>
      <w:r>
        <w:rPr>
          <w:sz w:val="28"/>
          <w:szCs w:val="28"/>
          <w:highlight w:val="white"/>
        </w:rPr>
        <w:t xml:space="preserve">–</w:t>
      </w:r>
      <w:r>
        <w:rPr>
          <w:color w:val="000000"/>
          <w:sz w:val="28"/>
          <w:szCs w:val="28"/>
          <w:highlight w:val="white"/>
        </w:rPr>
        <w:t xml:space="preserve"> компенсация)» </w:t>
      </w:r>
      <w:r>
        <w:rPr>
          <w:color w:val="000000"/>
          <w:sz w:val="28"/>
          <w:szCs w:val="28"/>
          <w:highlight w:val="white"/>
        </w:rPr>
        <w:t xml:space="preserve">заменить словами «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енежная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компенсация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компенсация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highlight w:val="none"/>
        </w:rPr>
        <w:t xml:space="preserve">2</w:t>
      </w:r>
      <w:r>
        <w:rPr>
          <w:color w:val="000000"/>
          <w:sz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пункты 1.1, 1.2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«1.1. 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ля получения </w:t>
      </w:r>
      <w:r>
        <w:rPr>
          <w:color w:val="000000"/>
          <w:sz w:val="28"/>
          <w:szCs w:val="28"/>
          <w:highlight w:val="white"/>
        </w:rPr>
        <w:t xml:space="preserve">компенсации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 реабилитированные лица либо их уполномоченные представители </w:t>
      </w:r>
      <w:r>
        <w:rPr>
          <w:sz w:val="28"/>
          <w:szCs w:val="28"/>
          <w:highlight w:val="white"/>
        </w:rPr>
        <w:t xml:space="preserve">обращаются в государственные казенные учреждения Новосибирской области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центры социальной поддержки населения, подведомственные министерству труда и</w:t>
      </w:r>
      <w:r>
        <w:rPr>
          <w:sz w:val="28"/>
          <w:szCs w:val="28"/>
          <w:highlight w:val="white"/>
        </w:rPr>
        <w:t xml:space="preserve"> социального развития Новосибирской области, либо их клиентские службы 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центр социальной поддержки населения), по месту жительства (пребывания) </w:t>
      </w:r>
      <w:r>
        <w:rPr>
          <w:sz w:val="28"/>
          <w:szCs w:val="28"/>
          <w:highlight w:val="white"/>
        </w:rPr>
        <w:t xml:space="preserve">с заявлением по форме, утверждаемой </w:t>
      </w:r>
      <w:r>
        <w:rPr>
          <w:sz w:val="28"/>
          <w:szCs w:val="28"/>
          <w:highlight w:val="white"/>
        </w:rPr>
        <w:t xml:space="preserve">министерством труда и</w:t>
      </w:r>
      <w:r>
        <w:rPr>
          <w:sz w:val="28"/>
          <w:szCs w:val="28"/>
          <w:highlight w:val="white"/>
        </w:rPr>
        <w:t xml:space="preserve"> социального развития Новосибирской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подается </w:t>
      </w:r>
      <w:r>
        <w:rPr>
          <w:sz w:val="28"/>
          <w:szCs w:val="28"/>
          <w:highlight w:val="white"/>
        </w:rPr>
        <w:t xml:space="preserve">реабилитированными лицами либо их </w:t>
      </w:r>
      <w:r>
        <w:rPr>
          <w:sz w:val="28"/>
          <w:szCs w:val="28"/>
          <w:highlight w:val="white"/>
        </w:rPr>
        <w:t xml:space="preserve">уполномоченными</w:t>
      </w:r>
      <w:r>
        <w:rPr>
          <w:sz w:val="28"/>
          <w:szCs w:val="28"/>
          <w:highlight w:val="white"/>
        </w:rPr>
        <w:t xml:space="preserve"> представител</w:t>
      </w:r>
      <w:r>
        <w:rPr>
          <w:sz w:val="28"/>
          <w:szCs w:val="28"/>
          <w:highlight w:val="white"/>
        </w:rPr>
        <w:t xml:space="preserve">ями (далее – </w:t>
      </w:r>
      <w:r>
        <w:rPr>
          <w:sz w:val="28"/>
          <w:szCs w:val="28"/>
          <w:highlight w:val="white"/>
        </w:rPr>
        <w:t xml:space="preserve">заявитель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2) посредством почтовой связи способом, позволяющим подтвердить факт и дату отправления.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При подаче заявления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предъявляется документ, </w:t>
      </w:r>
      <w:r>
        <w:rPr>
          <w:sz w:val="28"/>
          <w:szCs w:val="28"/>
          <w:highlight w:val="white"/>
        </w:rPr>
        <w:t xml:space="preserve">удостоверяющий личность.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обращения </w:t>
      </w:r>
      <w:r>
        <w:rPr>
          <w:sz w:val="28"/>
          <w:szCs w:val="28"/>
          <w:highlight w:val="white"/>
        </w:rPr>
        <w:t xml:space="preserve">уполномоченн</w:t>
      </w:r>
      <w:r>
        <w:rPr>
          <w:sz w:val="28"/>
          <w:szCs w:val="28"/>
          <w:highlight w:val="white"/>
        </w:rPr>
        <w:t xml:space="preserve">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представителя дополнительно представляется документ, подтверждающий его полномочия.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Датой приема заявления, направленного посредством почтовой связи, считается дата его регистрации в день поступления в центре социальной поддержки населения.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1.2. </w:t>
      </w:r>
      <w:r>
        <w:rPr>
          <w:sz w:val="28"/>
          <w:szCs w:val="28"/>
          <w:highlight w:val="white"/>
        </w:rPr>
        <w:t xml:space="preserve">Одновременно с заявлением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представляются </w:t>
      </w:r>
      <w:r>
        <w:rPr>
          <w:sz w:val="28"/>
          <w:szCs w:val="28"/>
          <w:highlight w:val="white"/>
        </w:rPr>
        <w:t xml:space="preserve">следующие документы: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проездные документы, подтверждающие расходы;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копию документа о реабилитации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документ, подтверждающий регистрацию реабилитированного лица по месту жительства на территории Новосибирской области (паспорт с отметкой о регистрации по месту жительства (если он не </w:t>
      </w:r>
      <w:r>
        <w:rPr>
          <w:sz w:val="28"/>
          <w:szCs w:val="28"/>
          <w:highlight w:val="white"/>
        </w:rPr>
        <w:t xml:space="preserve">предъявлялся</w:t>
      </w:r>
      <w:r>
        <w:rPr>
          <w:sz w:val="28"/>
          <w:szCs w:val="28"/>
          <w:highlight w:val="white"/>
        </w:rPr>
        <w:t xml:space="preserve"> в качес</w:t>
      </w:r>
      <w:r>
        <w:rPr>
          <w:sz w:val="28"/>
          <w:szCs w:val="28"/>
          <w:highlight w:val="white"/>
        </w:rPr>
        <w:t xml:space="preserve">тве документа, удостоверяющего личность реабилитированного лица)</w:t>
      </w:r>
      <w:r>
        <w:rPr>
          <w:sz w:val="28"/>
          <w:szCs w:val="28"/>
          <w:highlight w:val="white"/>
        </w:rPr>
        <w:t xml:space="preserve">, который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инициативе, либо</w:t>
      </w:r>
      <w:r>
        <w:rPr>
          <w:sz w:val="28"/>
          <w:szCs w:val="28"/>
          <w:highlight w:val="white"/>
        </w:rPr>
        <w:t xml:space="preserve"> решение суда об установлении юридического факта проживания реабилитированного лица по определенному адре</w:t>
      </w:r>
      <w:r>
        <w:rPr>
          <w:sz w:val="28"/>
          <w:szCs w:val="28"/>
          <w:highlight w:val="white"/>
        </w:rPr>
        <w:t xml:space="preserve">су (в случае установления такого факта))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посредством почтовой связи к нему прилагаются </w:t>
      </w:r>
      <w:r>
        <w:rPr>
          <w:sz w:val="28"/>
          <w:szCs w:val="28"/>
          <w:highlight w:val="white"/>
        </w:rPr>
        <w:t xml:space="preserve">подлинники </w:t>
      </w:r>
      <w:r>
        <w:rPr>
          <w:sz w:val="28"/>
          <w:szCs w:val="28"/>
          <w:highlight w:val="white"/>
        </w:rPr>
        <w:t xml:space="preserve">документов, указанных в абзацах втором, третьем настоящего пункта,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или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их </w:t>
      </w:r>
      <w:r>
        <w:rPr>
          <w:sz w:val="28"/>
          <w:szCs w:val="28"/>
          <w:highlight w:val="white"/>
        </w:rPr>
        <w:t xml:space="preserve">копии, </w:t>
      </w:r>
      <w:r>
        <w:rPr>
          <w:sz w:val="28"/>
          <w:szCs w:val="28"/>
          <w:highlight w:val="white"/>
        </w:rPr>
        <w:t xml:space="preserve">заверенные в установленном законодательством Российской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</w:t>
      </w:r>
      <w:r>
        <w:rPr>
          <w:sz w:val="28"/>
          <w:szCs w:val="28"/>
          <w:highlight w:val="white"/>
        </w:rPr>
        <w:t xml:space="preserve">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к нему прилагаются </w:t>
      </w:r>
      <w:r>
        <w:rPr>
          <w:sz w:val="28"/>
          <w:szCs w:val="28"/>
          <w:highlight w:val="white"/>
        </w:rPr>
        <w:t xml:space="preserve">подлинники или</w:t>
      </w:r>
      <w:r>
        <w:rPr>
          <w:sz w:val="28"/>
          <w:szCs w:val="28"/>
          <w:highlight w:val="white"/>
        </w:rPr>
        <w:t xml:space="preserve"> копии документов, указанных в абзацах </w:t>
      </w:r>
      <w:r>
        <w:rPr>
          <w:sz w:val="28"/>
          <w:szCs w:val="28"/>
          <w:highlight w:val="white"/>
        </w:rPr>
        <w:t xml:space="preserve">втором, третьем</w:t>
      </w:r>
      <w:r>
        <w:rPr>
          <w:sz w:val="28"/>
          <w:szCs w:val="28"/>
          <w:highlight w:val="white"/>
        </w:rPr>
        <w:t xml:space="preserve"> настоящего пункта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Если приложены </w:t>
      </w:r>
      <w:r>
        <w:rPr>
          <w:sz w:val="28"/>
          <w:szCs w:val="28"/>
          <w:highlight w:val="white"/>
        </w:rPr>
        <w:t xml:space="preserve">копии документов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 заверенных в установленном законодательством </w:t>
      </w:r>
      <w:r>
        <w:rPr>
          <w:sz w:val="28"/>
          <w:szCs w:val="28"/>
          <w:highlight w:val="white"/>
        </w:rPr>
        <w:t xml:space="preserve">Российской Федерации </w:t>
      </w:r>
      <w:r>
        <w:rPr>
          <w:sz w:val="28"/>
          <w:szCs w:val="28"/>
          <w:highlight w:val="white"/>
        </w:rPr>
        <w:t xml:space="preserve">порядке,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представляются и их подлинник</w:t>
      </w:r>
      <w:r>
        <w:rPr>
          <w:sz w:val="28"/>
          <w:szCs w:val="28"/>
          <w:highlight w:val="white"/>
        </w:rPr>
        <w:t xml:space="preserve">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документы, указанные </w:t>
      </w:r>
      <w:r>
        <w:rPr>
          <w:sz w:val="28"/>
          <w:szCs w:val="28"/>
          <w:highlight w:val="white"/>
        </w:rPr>
        <w:t xml:space="preserve">в абзацах четвертом, пятом настоящего пункта, </w:t>
      </w:r>
      <w:r>
        <w:rPr>
          <w:sz w:val="28"/>
          <w:szCs w:val="28"/>
          <w:highlight w:val="white"/>
        </w:rPr>
        <w:t xml:space="preserve">не представлены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по собственной инициативе, центр социальной поддержки населения получает данную информацию по межведомственному за</w:t>
      </w:r>
      <w:r>
        <w:rPr>
          <w:sz w:val="28"/>
          <w:szCs w:val="28"/>
          <w:highlight w:val="white"/>
        </w:rPr>
        <w:t xml:space="preserve">просу в рамках межведомственного информационного взаимодействия.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Если для получения </w:t>
      </w:r>
      <w:r>
        <w:rPr>
          <w:color w:val="000000"/>
          <w:sz w:val="28"/>
          <w:szCs w:val="28"/>
          <w:highlight w:val="white"/>
        </w:rPr>
        <w:t xml:space="preserve">компенсации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</w:t>
      </w:r>
      <w:r>
        <w:rPr>
          <w:sz w:val="28"/>
          <w:szCs w:val="28"/>
          <w:highlight w:val="white"/>
        </w:rPr>
        <w:t xml:space="preserve">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) в пункте 1.3 с</w:t>
      </w:r>
      <w:r>
        <w:rPr>
          <w:color w:val="000000"/>
          <w:sz w:val="28"/>
          <w:szCs w:val="28"/>
          <w:highlight w:val="white"/>
        </w:rPr>
        <w:t xml:space="preserve">лово </w:t>
      </w:r>
      <w:r>
        <w:rPr>
          <w:color w:val="000000"/>
          <w:sz w:val="28"/>
          <w:szCs w:val="28"/>
          <w:highlight w:val="white"/>
        </w:rPr>
        <w:t xml:space="preserve">«Компенсации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заменить словами «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пункты 1.5, 1.6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«1.5. При отсутствии прямого сообщения компенсация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color w:val="000000"/>
          <w:sz w:val="28"/>
          <w:szCs w:val="28"/>
          <w:highlight w:val="white"/>
        </w:rPr>
        <w:t xml:space="preserve"> производится по фактической стоимости проезда на железнодорожном, водном, воздушном или междугородном автомобильном транспорте на основании представленных проездных документов при условии предоставления справки из справо</w:t>
      </w:r>
      <w:r>
        <w:rPr>
          <w:color w:val="000000"/>
          <w:sz w:val="28"/>
          <w:szCs w:val="28"/>
          <w:highlight w:val="white"/>
        </w:rPr>
        <w:t xml:space="preserve">чной службы вокзала, подтверждающей, что между начальным и конечным пунктами назначения нет прямого пути следования.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1.6. При расчете размера </w:t>
      </w:r>
      <w:r>
        <w:rPr>
          <w:color w:val="000000"/>
          <w:sz w:val="28"/>
          <w:szCs w:val="28"/>
          <w:highlight w:val="white"/>
        </w:rPr>
        <w:t xml:space="preserve">компенсации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color w:val="000000"/>
          <w:sz w:val="28"/>
          <w:szCs w:val="28"/>
          <w:highlight w:val="white"/>
        </w:rPr>
        <w:t xml:space="preserve"> на железнодорожном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транспорте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учитывается стоимость билета, стоимость плацкарты и сумма страхового сбора.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При расчете размера </w:t>
      </w:r>
      <w:r>
        <w:rPr>
          <w:sz w:val="28"/>
          <w:szCs w:val="28"/>
          <w:highlight w:val="white"/>
        </w:rPr>
        <w:t xml:space="preserve">компенсации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водным, воздушным и междугородным автомобильным транспортом учитывается общая сумма по билету.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в пункте 2.2 </w:t>
      </w:r>
      <w:r>
        <w:rPr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лово </w:t>
      </w:r>
      <w:r>
        <w:rPr>
          <w:color w:val="000000"/>
          <w:sz w:val="28"/>
          <w:szCs w:val="28"/>
          <w:highlight w:val="white"/>
        </w:rPr>
        <w:t xml:space="preserve">«Компенсации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заменить словами «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омпенсации </w:t>
      </w:r>
      <w:r>
        <w:rPr>
          <w:sz w:val="28"/>
          <w:szCs w:val="28"/>
          <w:highlight w:val="white"/>
        </w:rPr>
        <w:t xml:space="preserve">за установку квартирного телефона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пункт 2.3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«2.3. </w:t>
      </w:r>
      <w:r>
        <w:rPr>
          <w:sz w:val="28"/>
          <w:szCs w:val="28"/>
          <w:highlight w:val="white"/>
        </w:rPr>
        <w:t xml:space="preserve">Для </w:t>
      </w:r>
      <w:r>
        <w:rPr>
          <w:sz w:val="28"/>
          <w:szCs w:val="28"/>
          <w:highlight w:val="white"/>
        </w:rPr>
        <w:t xml:space="preserve">получения компенсации</w:t>
      </w:r>
      <w:r>
        <w:rPr>
          <w:sz w:val="28"/>
          <w:szCs w:val="28"/>
          <w:highlight w:val="white"/>
        </w:rPr>
        <w:t xml:space="preserve"> за установку квартирного телефона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обращаются в </w:t>
      </w:r>
      <w:r>
        <w:rPr>
          <w:sz w:val="28"/>
          <w:szCs w:val="28"/>
          <w:highlight w:val="white"/>
        </w:rPr>
        <w:t xml:space="preserve">центры социальной поддержки населения</w:t>
      </w:r>
      <w:r>
        <w:rPr>
          <w:sz w:val="28"/>
          <w:szCs w:val="28"/>
          <w:highlight w:val="white"/>
        </w:rPr>
        <w:t xml:space="preserve"> по месту жительства (пребывания) </w:t>
      </w:r>
      <w:r>
        <w:rPr>
          <w:sz w:val="28"/>
          <w:szCs w:val="28"/>
          <w:highlight w:val="white"/>
        </w:rPr>
        <w:t xml:space="preserve">с заявлением по форме, утверждаемой </w:t>
      </w:r>
      <w:r>
        <w:rPr>
          <w:sz w:val="28"/>
          <w:szCs w:val="28"/>
          <w:highlight w:val="white"/>
        </w:rPr>
        <w:t xml:space="preserve">министерством труда и</w:t>
      </w:r>
      <w:r>
        <w:rPr>
          <w:sz w:val="28"/>
          <w:szCs w:val="28"/>
          <w:highlight w:val="white"/>
        </w:rPr>
        <w:t xml:space="preserve"> социального развития Новосибирской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подается 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посредством почтовой связи способом, позволяющим подтвердить факт и дату отправления.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подаче заявления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предъявляется документ, </w:t>
      </w:r>
      <w:r>
        <w:rPr>
          <w:sz w:val="28"/>
          <w:szCs w:val="28"/>
          <w:highlight w:val="white"/>
        </w:rPr>
        <w:t xml:space="preserve">удостоверяющий  личность.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обращения </w:t>
      </w:r>
      <w:r>
        <w:rPr>
          <w:sz w:val="28"/>
          <w:szCs w:val="28"/>
          <w:highlight w:val="white"/>
        </w:rPr>
        <w:t xml:space="preserve">уполномоченн</w:t>
      </w:r>
      <w:r>
        <w:rPr>
          <w:sz w:val="28"/>
          <w:szCs w:val="28"/>
          <w:highlight w:val="white"/>
        </w:rPr>
        <w:t xml:space="preserve">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представителя дополнительно представляется документ, подтверждающий его полномочия.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Датой приема заявления, направленного посредством почтовой связи, считается дата его регистрации в день поступления в центре социальной поддержки населения.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дополнить пунктом 2.4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2.4. </w:t>
      </w:r>
      <w:r>
        <w:rPr>
          <w:sz w:val="28"/>
          <w:szCs w:val="28"/>
          <w:highlight w:val="white"/>
        </w:rPr>
        <w:t xml:space="preserve">Одновременно с заявлением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представляются </w:t>
      </w:r>
      <w:r>
        <w:rPr>
          <w:sz w:val="28"/>
          <w:szCs w:val="28"/>
          <w:highlight w:val="white"/>
        </w:rPr>
        <w:t xml:space="preserve">следующие документы: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договор об установке квартирного телефона;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акт приемки выполненных работ;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платежные документы, подтверждающие расходы за установку квартирного телефона;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копию документа о реабилитации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документ, подтверждающий регистрацию реабилитированного лица по месту жительства на территории Новосибирской области (паспорт с отметкой о регистрации по месту жительства (если он не </w:t>
      </w:r>
      <w:r>
        <w:rPr>
          <w:sz w:val="28"/>
          <w:szCs w:val="28"/>
          <w:highlight w:val="white"/>
        </w:rPr>
        <w:t xml:space="preserve">предъявлялся</w:t>
      </w:r>
      <w:r>
        <w:rPr>
          <w:sz w:val="28"/>
          <w:szCs w:val="28"/>
          <w:highlight w:val="white"/>
        </w:rPr>
        <w:t xml:space="preserve"> в качес</w:t>
      </w:r>
      <w:r>
        <w:rPr>
          <w:sz w:val="28"/>
          <w:szCs w:val="28"/>
          <w:highlight w:val="white"/>
        </w:rPr>
        <w:t xml:space="preserve">тве документа, удостоверяющего личность реабилитированного лица)</w:t>
      </w:r>
      <w:r>
        <w:rPr>
          <w:sz w:val="28"/>
          <w:szCs w:val="28"/>
          <w:highlight w:val="white"/>
        </w:rPr>
        <w:t xml:space="preserve">, который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инициативе, либо</w:t>
      </w:r>
      <w:r>
        <w:rPr>
          <w:sz w:val="28"/>
          <w:szCs w:val="28"/>
          <w:highlight w:val="white"/>
        </w:rPr>
        <w:t xml:space="preserve"> решение суда об установлении юридического факта проживания реабилитированного лица по определенному адре</w:t>
      </w:r>
      <w:r>
        <w:rPr>
          <w:sz w:val="28"/>
          <w:szCs w:val="28"/>
          <w:highlight w:val="white"/>
        </w:rPr>
        <w:t xml:space="preserve">су (в случае установления такого факта))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посредством почтовой связи к нему прилагаются </w:t>
      </w:r>
      <w:r>
        <w:rPr>
          <w:sz w:val="28"/>
          <w:szCs w:val="28"/>
          <w:highlight w:val="white"/>
        </w:rPr>
        <w:t xml:space="preserve">подлинники </w:t>
      </w:r>
      <w:r>
        <w:rPr>
          <w:sz w:val="28"/>
          <w:szCs w:val="28"/>
          <w:highlight w:val="white"/>
        </w:rPr>
        <w:t xml:space="preserve">документов, указанных в абзацах </w:t>
      </w:r>
      <w:r>
        <w:rPr>
          <w:sz w:val="28"/>
          <w:szCs w:val="28"/>
          <w:highlight w:val="white"/>
        </w:rPr>
        <w:t xml:space="preserve">втором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пятом</w:t>
      </w:r>
      <w:r>
        <w:rPr>
          <w:sz w:val="28"/>
          <w:szCs w:val="28"/>
          <w:highlight w:val="white"/>
        </w:rPr>
        <w:t xml:space="preserve"> настоящего пункта,</w:t>
      </w:r>
      <w:r>
        <w:rPr>
          <w:sz w:val="28"/>
          <w:szCs w:val="28"/>
          <w:highlight w:val="white"/>
        </w:rPr>
        <w:t xml:space="preserve"> или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их </w:t>
      </w:r>
      <w:r>
        <w:rPr>
          <w:sz w:val="28"/>
          <w:szCs w:val="28"/>
          <w:highlight w:val="white"/>
        </w:rPr>
        <w:t xml:space="preserve">копии, </w:t>
      </w:r>
      <w:r>
        <w:rPr>
          <w:sz w:val="28"/>
          <w:szCs w:val="28"/>
          <w:highlight w:val="white"/>
        </w:rPr>
        <w:t xml:space="preserve"> заверенные в установленном законодательством Р</w:t>
      </w:r>
      <w:r>
        <w:rPr>
          <w:sz w:val="28"/>
          <w:szCs w:val="28"/>
          <w:highlight w:val="white"/>
        </w:rPr>
        <w:t xml:space="preserve">осс</w:t>
      </w:r>
      <w:r>
        <w:rPr>
          <w:sz w:val="28"/>
          <w:szCs w:val="28"/>
          <w:highlight w:val="white"/>
        </w:rPr>
        <w:t xml:space="preserve">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</w:t>
      </w:r>
      <w:r>
        <w:rPr>
          <w:sz w:val="28"/>
          <w:szCs w:val="28"/>
          <w:highlight w:val="white"/>
        </w:rPr>
        <w:t xml:space="preserve">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к нему прилагаются </w:t>
      </w:r>
      <w:r>
        <w:rPr>
          <w:sz w:val="28"/>
          <w:szCs w:val="28"/>
          <w:highlight w:val="white"/>
        </w:rPr>
        <w:t xml:space="preserve">подлинники или</w:t>
      </w:r>
      <w:r>
        <w:rPr>
          <w:sz w:val="28"/>
          <w:szCs w:val="28"/>
          <w:highlight w:val="white"/>
        </w:rPr>
        <w:t xml:space="preserve"> копии документов, указанных в абзацах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втором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пятом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пункта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Если приложены </w:t>
      </w:r>
      <w:r>
        <w:rPr>
          <w:sz w:val="28"/>
          <w:szCs w:val="28"/>
          <w:highlight w:val="white"/>
        </w:rPr>
        <w:t xml:space="preserve">копии документов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 заверенных в установленном законодательством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осс</w:t>
      </w:r>
      <w:r>
        <w:rPr>
          <w:sz w:val="28"/>
          <w:szCs w:val="28"/>
          <w:highlight w:val="white"/>
        </w:rPr>
        <w:t xml:space="preserve">ийской Федерации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порядке,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представляются и их подлинник</w:t>
      </w:r>
      <w:r>
        <w:rPr>
          <w:sz w:val="28"/>
          <w:szCs w:val="28"/>
          <w:highlight w:val="white"/>
        </w:rPr>
        <w:t xml:space="preserve">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документы, указанные </w:t>
      </w:r>
      <w:r>
        <w:rPr>
          <w:sz w:val="28"/>
          <w:szCs w:val="28"/>
          <w:highlight w:val="white"/>
        </w:rPr>
        <w:t xml:space="preserve">в абзацах шестом, седьмом настоящего пункта, </w:t>
      </w:r>
      <w:r>
        <w:rPr>
          <w:sz w:val="28"/>
          <w:szCs w:val="28"/>
          <w:highlight w:val="white"/>
        </w:rPr>
        <w:t xml:space="preserve">не представлены </w:t>
      </w:r>
      <w:r>
        <w:rPr>
          <w:sz w:val="28"/>
          <w:szCs w:val="28"/>
          <w:highlight w:val="white"/>
        </w:rPr>
        <w:t xml:space="preserve">заявителем </w:t>
      </w:r>
      <w:r>
        <w:rPr>
          <w:sz w:val="28"/>
          <w:szCs w:val="28"/>
          <w:highlight w:val="white"/>
        </w:rPr>
        <w:t xml:space="preserve">по собственной инициативе, центр социальной поддержки населения получает данную информацию по межведомственному за</w:t>
      </w:r>
      <w:r>
        <w:rPr>
          <w:sz w:val="28"/>
          <w:szCs w:val="28"/>
          <w:highlight w:val="white"/>
        </w:rPr>
        <w:t xml:space="preserve">просу в рамках межведомственного информационного взаимодействия.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сли для получения </w:t>
      </w:r>
      <w:r>
        <w:rPr>
          <w:sz w:val="28"/>
          <w:szCs w:val="28"/>
          <w:highlight w:val="white"/>
        </w:rPr>
        <w:t xml:space="preserve">денежной компенсации за установку квартирного телефона </w:t>
      </w:r>
      <w:r>
        <w:rPr>
          <w:sz w:val="28"/>
          <w:szCs w:val="28"/>
          <w:highlight w:val="white"/>
        </w:rPr>
        <w:t xml:space="preserve">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</w:t>
      </w:r>
      <w:r>
        <w:rPr>
          <w:sz w:val="28"/>
          <w:szCs w:val="28"/>
          <w:highlight w:val="white"/>
        </w:rPr>
        <w:t xml:space="preserve">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пункты 3.2-3.4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3.2. Решение о назначении или отказе в назначении 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омпенсации </w:t>
      </w:r>
      <w:r>
        <w:rPr>
          <w:color w:val="000000"/>
          <w:sz w:val="28"/>
          <w:szCs w:val="28"/>
          <w:highlight w:val="white"/>
        </w:rPr>
        <w:t xml:space="preserve">расходов за проезд</w:t>
      </w:r>
      <w:r>
        <w:rPr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омпенсац</w:t>
      </w:r>
      <w:r>
        <w:rPr>
          <w:color w:val="000000"/>
          <w:sz w:val="28"/>
          <w:szCs w:val="28"/>
          <w:highlight w:val="white"/>
        </w:rPr>
        <w:t xml:space="preserve">ии </w:t>
      </w:r>
      <w:r>
        <w:rPr>
          <w:sz w:val="28"/>
          <w:szCs w:val="28"/>
          <w:highlight w:val="white"/>
        </w:rPr>
        <w:t xml:space="preserve">за установку квартирного телефона</w:t>
      </w:r>
      <w:r>
        <w:rPr>
          <w:sz w:val="28"/>
          <w:szCs w:val="28"/>
          <w:highlight w:val="white"/>
        </w:rPr>
        <w:t xml:space="preserve"> (далее – компенсация)</w:t>
      </w:r>
      <w:r>
        <w:rPr>
          <w:sz w:val="28"/>
          <w:szCs w:val="28"/>
          <w:highlight w:val="white"/>
        </w:rPr>
        <w:t xml:space="preserve"> принимается центром социальной поддержки населения в течение десяти рабочих дней с даты регистрации заявления с документами, указанными в пунктах 1.2, 2.4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3.3. </w:t>
      </w:r>
      <w:r>
        <w:rPr>
          <w:sz w:val="28"/>
          <w:szCs w:val="28"/>
          <w:highlight w:val="white"/>
        </w:rPr>
        <w:t xml:space="preserve">Реабилитированному лицу отказывается в назначении компенсации в случае, если: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1) не представлены или представлены не все документы, указанные в пунктах 1.2, 2.4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Порядка (за исключением документов, </w:t>
      </w:r>
      <w:r>
        <w:rPr>
          <w:sz w:val="28"/>
          <w:szCs w:val="28"/>
          <w:highlight w:val="white"/>
        </w:rPr>
        <w:t xml:space="preserve">которые заявитель 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2) отсутствуют сведения о реабилитации лица.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течение пяти рабочих дней со д</w:t>
      </w:r>
      <w:r>
        <w:rPr>
          <w:sz w:val="28"/>
          <w:szCs w:val="28"/>
          <w:highlight w:val="white"/>
        </w:rPr>
        <w:t xml:space="preserve">ня</w:t>
      </w:r>
      <w:r>
        <w:rPr>
          <w:sz w:val="28"/>
          <w:szCs w:val="28"/>
          <w:highlight w:val="white"/>
        </w:rPr>
        <w:t xml:space="preserve"> принятия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ешения о назначении или отказе в назначении 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омпенсации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уведомляет об этом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В случае несогласия </w:t>
      </w:r>
      <w:r>
        <w:rPr>
          <w:sz w:val="28"/>
          <w:szCs w:val="28"/>
          <w:highlight w:val="white"/>
        </w:rPr>
        <w:t xml:space="preserve">заявителя </w:t>
      </w:r>
      <w:r>
        <w:rPr>
          <w:sz w:val="28"/>
          <w:szCs w:val="28"/>
          <w:highlight w:val="white"/>
        </w:rPr>
        <w:t xml:space="preserve">с решением, принятым центром социальной поддержки населения, данное решение может быть обжаловано в порядке, установленном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3.4. Назначенная, но не полученная заявителем </w:t>
      </w:r>
      <w:r>
        <w:rPr>
          <w:sz w:val="28"/>
          <w:szCs w:val="28"/>
          <w:highlight w:val="white"/>
        </w:rPr>
        <w:t xml:space="preserve">своевременно компенсация, </w:t>
      </w:r>
      <w:r>
        <w:rPr>
          <w:sz w:val="28"/>
          <w:szCs w:val="28"/>
          <w:highlight w:val="white"/>
        </w:rPr>
        <w:t xml:space="preserve">выплачивается за все прошлое время.</w:t>
      </w:r>
      <w:r>
        <w:rPr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pStyle w:val="672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4. </w:t>
      </w:r>
      <w:r>
        <w:rPr>
          <w:color w:val="000000"/>
          <w:sz w:val="28"/>
          <w:highlight w:val="white"/>
        </w:rPr>
        <w:t xml:space="preserve">В Порядке в</w:t>
      </w:r>
      <w:r>
        <w:rPr>
          <w:color w:val="000000"/>
          <w:sz w:val="28"/>
          <w:szCs w:val="28"/>
          <w:highlight w:val="white"/>
        </w:rPr>
        <w:t xml:space="preserve">озмещения затрат, связанных с погребением умерших реабилитированных лиц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  <w:t xml:space="preserve">1</w:t>
      </w:r>
      <w:r>
        <w:rPr>
          <w:color w:val="000000"/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пункт 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  <w:t xml:space="preserve">«1. Настоящий Порядок </w:t>
      </w:r>
      <w:r>
        <w:rPr>
          <w:color w:val="000000"/>
          <w:sz w:val="28"/>
          <w:szCs w:val="28"/>
          <w:highlight w:val="white"/>
        </w:rPr>
        <w:t xml:space="preserve">в соответствии с Законом Новосибирской области от 29.12.2004 № 253-ОЗ «О мерах социальной поддержки отдельных категорий граждан, проживающих в Новосибирской области» </w:t>
      </w:r>
      <w:r>
        <w:rPr>
          <w:color w:val="000000"/>
          <w:sz w:val="28"/>
          <w:szCs w:val="28"/>
          <w:highlight w:val="white"/>
        </w:rPr>
        <w:t xml:space="preserve">определяет порядок возмещения затрат, связанных с погребением умерших постоянно проживавших на территории Новосибирской области реабилитированных лиц, и их размер.»;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) пункт 3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«3. </w:t>
      </w:r>
      <w:r>
        <w:rPr>
          <w:sz w:val="28"/>
          <w:szCs w:val="28"/>
          <w:highlight w:val="white"/>
        </w:rPr>
        <w:t xml:space="preserve">Для возмещения затрат гражданин, организация, взявший (взявшая) на себя обязанности по организации погребения реабилитированного лица за свой счет (их уполномоченные представители) 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заявитель) </w:t>
      </w:r>
      <w:r>
        <w:rPr>
          <w:sz w:val="28"/>
          <w:szCs w:val="28"/>
          <w:highlight w:val="white"/>
        </w:rPr>
        <w:t xml:space="preserve">обращается в 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по месту жительства (пребывания) </w:t>
      </w:r>
      <w:r>
        <w:rPr>
          <w:sz w:val="28"/>
          <w:szCs w:val="28"/>
          <w:highlight w:val="white"/>
        </w:rPr>
        <w:t xml:space="preserve">заявителя или умершего реабилитированного лица с заявлением по форме, утверждаемой </w:t>
      </w:r>
      <w:r>
        <w:rPr>
          <w:sz w:val="28"/>
          <w:szCs w:val="28"/>
          <w:highlight w:val="white"/>
        </w:rPr>
        <w:t xml:space="preserve">министерством труда и</w:t>
      </w:r>
      <w:r>
        <w:rPr>
          <w:sz w:val="28"/>
          <w:szCs w:val="28"/>
          <w:highlight w:val="white"/>
        </w:rPr>
        <w:t xml:space="preserve"> социального развития Новосибирской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подается</w:t>
      </w:r>
      <w:r>
        <w:rPr>
          <w:sz w:val="28"/>
          <w:szCs w:val="28"/>
          <w:highlight w:val="white"/>
        </w:rPr>
        <w:t xml:space="preserve"> заявител</w:t>
      </w:r>
      <w:r>
        <w:rPr>
          <w:sz w:val="28"/>
          <w:szCs w:val="28"/>
          <w:highlight w:val="white"/>
        </w:rPr>
        <w:t xml:space="preserve">ем </w:t>
      </w:r>
      <w:r>
        <w:rPr>
          <w:sz w:val="28"/>
          <w:szCs w:val="28"/>
          <w:highlight w:val="white"/>
        </w:rPr>
        <w:t xml:space="preserve">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посредством почтовой связи способом, позволяющим подтвердить факт и дату отправления.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подаче заявления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предъявляется документ, удостоверяющий его личность.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обращения </w:t>
      </w:r>
      <w:r>
        <w:rPr>
          <w:sz w:val="28"/>
          <w:szCs w:val="28"/>
          <w:highlight w:val="white"/>
        </w:rPr>
        <w:t xml:space="preserve">уполномоченного представител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дополнительно представляется документ, подтверждающий его полномочия.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Датой приема заявления, направленного посредством почтовой связи, считается дата его регистрации в день поступления в центре социальной поддержки населения.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Одновременно с заявлением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представляются </w:t>
      </w:r>
      <w:r>
        <w:rPr>
          <w:sz w:val="28"/>
          <w:szCs w:val="28"/>
          <w:highlight w:val="white"/>
        </w:rPr>
        <w:t xml:space="preserve">следующие документы: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справк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 (</w:t>
      </w:r>
      <w:r>
        <w:rPr>
          <w:sz w:val="28"/>
          <w:szCs w:val="28"/>
          <w:highlight w:val="white"/>
        </w:rPr>
        <w:t xml:space="preserve">заявитель 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 платежные документы, подтверждающие факт произведенных затрат;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копи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документа о реабилитации (</w:t>
      </w:r>
      <w:r>
        <w:rPr>
          <w:sz w:val="28"/>
          <w:szCs w:val="28"/>
          <w:highlight w:val="white"/>
        </w:rPr>
        <w:t xml:space="preserve">заявитель 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документ (сведения) о смерти реабилитированного лица (</w:t>
      </w:r>
      <w:r>
        <w:rPr>
          <w:sz w:val="28"/>
          <w:szCs w:val="28"/>
          <w:highlight w:val="white"/>
        </w:rPr>
        <w:t xml:space="preserve">заявитель вправе представить</w:t>
      </w:r>
      <w:r>
        <w:rPr>
          <w:sz w:val="28"/>
          <w:szCs w:val="28"/>
          <w:highlight w:val="white"/>
        </w:rPr>
        <w:t xml:space="preserve"> по собственной инициативе);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решение суда об установлении юридического факта проживания </w:t>
      </w:r>
      <w:r>
        <w:rPr>
          <w:sz w:val="28"/>
          <w:szCs w:val="28"/>
          <w:highlight w:val="white"/>
        </w:rPr>
        <w:t xml:space="preserve">умершего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реабилитированного лица по определенному адре</w:t>
      </w:r>
      <w:r>
        <w:rPr>
          <w:sz w:val="28"/>
          <w:szCs w:val="28"/>
          <w:highlight w:val="white"/>
        </w:rPr>
        <w:t xml:space="preserve">су (в случае установления такого факта)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посредством почтовой связи к нему прилагаются </w:t>
      </w:r>
      <w:r>
        <w:rPr>
          <w:sz w:val="28"/>
          <w:szCs w:val="28"/>
          <w:highlight w:val="white"/>
        </w:rPr>
        <w:t xml:space="preserve">подлинники </w:t>
      </w:r>
      <w:r>
        <w:rPr>
          <w:sz w:val="28"/>
          <w:szCs w:val="28"/>
          <w:highlight w:val="white"/>
        </w:rPr>
        <w:t xml:space="preserve">документов, указанных в абзацах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десятом, тринадцатом</w:t>
      </w:r>
      <w:r>
        <w:rPr>
          <w:sz w:val="28"/>
          <w:szCs w:val="28"/>
          <w:highlight w:val="white"/>
        </w:rPr>
        <w:t xml:space="preserve"> настоящего пункта, </w:t>
      </w:r>
      <w:r>
        <w:rPr>
          <w:sz w:val="28"/>
          <w:szCs w:val="28"/>
          <w:highlight w:val="white"/>
        </w:rPr>
        <w:t xml:space="preserve">или</w:t>
      </w:r>
      <w:r>
        <w:rPr>
          <w:sz w:val="28"/>
          <w:szCs w:val="28"/>
          <w:highlight w:val="white"/>
        </w:rPr>
        <w:t xml:space="preserve"> их копии, </w:t>
      </w:r>
      <w:r>
        <w:rPr>
          <w:sz w:val="28"/>
          <w:szCs w:val="28"/>
          <w:highlight w:val="white"/>
        </w:rPr>
        <w:t xml:space="preserve">заверенные в установленном законодательством Российской Федерации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</w:t>
      </w:r>
      <w:r>
        <w:rPr>
          <w:sz w:val="28"/>
          <w:szCs w:val="28"/>
          <w:highlight w:val="white"/>
        </w:rPr>
        <w:t xml:space="preserve">подачи 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центр социальной поддержки населения лично либо через многофункциона</w:t>
      </w:r>
      <w:r>
        <w:rPr>
          <w:sz w:val="28"/>
          <w:szCs w:val="28"/>
          <w:highlight w:val="white"/>
        </w:rPr>
        <w:t xml:space="preserve">льный центр предоставления государственных и муниципальных услуг </w:t>
      </w:r>
      <w:r>
        <w:rPr>
          <w:sz w:val="28"/>
          <w:szCs w:val="28"/>
          <w:highlight w:val="white"/>
        </w:rPr>
        <w:t xml:space="preserve">к нему прилагаются </w:t>
      </w:r>
      <w:r>
        <w:rPr>
          <w:sz w:val="28"/>
          <w:szCs w:val="28"/>
          <w:highlight w:val="white"/>
        </w:rPr>
        <w:t xml:space="preserve">подлинники или</w:t>
      </w:r>
      <w:r>
        <w:rPr>
          <w:sz w:val="28"/>
          <w:szCs w:val="28"/>
          <w:highlight w:val="white"/>
        </w:rPr>
        <w:t xml:space="preserve"> копии документов, указанных в абзацах </w:t>
      </w:r>
      <w:r>
        <w:rPr>
          <w:sz w:val="28"/>
          <w:szCs w:val="28"/>
          <w:highlight w:val="white"/>
        </w:rPr>
        <w:t xml:space="preserve">десятом, тринадцатом </w:t>
      </w:r>
      <w:r>
        <w:rPr>
          <w:sz w:val="28"/>
          <w:szCs w:val="28"/>
          <w:highlight w:val="white"/>
        </w:rPr>
        <w:t xml:space="preserve">настоящего пункта</w:t>
      </w:r>
      <w:r>
        <w:rPr>
          <w:sz w:val="28"/>
          <w:szCs w:val="28"/>
          <w:highlight w:val="white"/>
        </w:rPr>
        <w:t xml:space="preserve">. Если приложены </w:t>
      </w:r>
      <w:r>
        <w:rPr>
          <w:sz w:val="28"/>
          <w:szCs w:val="28"/>
          <w:highlight w:val="white"/>
        </w:rPr>
        <w:t xml:space="preserve">копии документов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 заверенных в установленном законодательством</w:t>
      </w:r>
      <w:r>
        <w:rPr>
          <w:sz w:val="28"/>
          <w:szCs w:val="28"/>
          <w:highlight w:val="white"/>
        </w:rPr>
        <w:t xml:space="preserve"> Российской Федерации порядке.</w:t>
      </w:r>
      <w:r>
        <w:rPr>
          <w:sz w:val="28"/>
          <w:szCs w:val="28"/>
          <w:highlight w:val="white"/>
        </w:rPr>
        <w:t xml:space="preserve"> порядке, 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представляются и их подлинник</w:t>
      </w:r>
      <w:r>
        <w:rPr>
          <w:sz w:val="28"/>
          <w:szCs w:val="28"/>
          <w:highlight w:val="white"/>
        </w:rPr>
        <w:t xml:space="preserve">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Если для </w:t>
      </w:r>
      <w:r>
        <w:rPr>
          <w:sz w:val="28"/>
          <w:szCs w:val="28"/>
          <w:highlight w:val="white"/>
        </w:rPr>
        <w:t xml:space="preserve">возмещения затрат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</w:t>
      </w:r>
      <w:r>
        <w:rPr>
          <w:sz w:val="28"/>
          <w:szCs w:val="28"/>
          <w:highlight w:val="white"/>
        </w:rPr>
        <w:t xml:space="preserve">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документы, указанные </w:t>
      </w:r>
      <w:r>
        <w:rPr>
          <w:sz w:val="28"/>
          <w:szCs w:val="28"/>
          <w:highlight w:val="white"/>
        </w:rPr>
        <w:t xml:space="preserve">в абзацах </w:t>
      </w:r>
      <w:r>
        <w:rPr>
          <w:sz w:val="28"/>
          <w:szCs w:val="28"/>
          <w:highlight w:val="white"/>
        </w:rPr>
        <w:t xml:space="preserve">десятом, тринадцатом</w:t>
      </w:r>
      <w:r>
        <w:rPr>
          <w:sz w:val="28"/>
          <w:szCs w:val="28"/>
          <w:highlight w:val="white"/>
        </w:rPr>
        <w:t xml:space="preserve"> настоящего пункта, </w:t>
      </w:r>
      <w:r>
        <w:rPr>
          <w:sz w:val="28"/>
          <w:szCs w:val="28"/>
          <w:highlight w:val="white"/>
        </w:rPr>
        <w:t xml:space="preserve">не представлены </w:t>
      </w:r>
      <w:r>
        <w:rPr>
          <w:sz w:val="28"/>
          <w:szCs w:val="28"/>
          <w:highlight w:val="white"/>
        </w:rPr>
        <w:t xml:space="preserve">заявителем </w:t>
      </w:r>
      <w:r>
        <w:rPr>
          <w:sz w:val="28"/>
          <w:szCs w:val="28"/>
          <w:highlight w:val="white"/>
        </w:rPr>
        <w:t xml:space="preserve">по собственной инициативе, центр социальной поддержки населения получает данную информацию по межведомственному за</w:t>
      </w:r>
      <w:r>
        <w:rPr>
          <w:sz w:val="28"/>
          <w:szCs w:val="28"/>
          <w:highlight w:val="white"/>
        </w:rPr>
        <w:t xml:space="preserve">просу в рамках межведомственного информационного взаимодействия.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) абзац шестой пункта 5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течение пяти рабочих дней со д</w:t>
      </w:r>
      <w:r>
        <w:rPr>
          <w:sz w:val="28"/>
          <w:szCs w:val="28"/>
          <w:highlight w:val="white"/>
        </w:rPr>
        <w:t xml:space="preserve">ня</w:t>
      </w:r>
      <w:r>
        <w:rPr>
          <w:sz w:val="28"/>
          <w:szCs w:val="28"/>
          <w:highlight w:val="white"/>
        </w:rPr>
        <w:t xml:space="preserve"> принятия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ешения о выплате или отказе в выплате</w:t>
      </w:r>
      <w:r>
        <w:rPr>
          <w:sz w:val="28"/>
          <w:szCs w:val="28"/>
          <w:highlight w:val="white"/>
        </w:rPr>
        <w:t xml:space="preserve"> возмещения затрат </w:t>
      </w:r>
      <w:r>
        <w:rPr>
          <w:sz w:val="28"/>
          <w:szCs w:val="28"/>
          <w:highlight w:val="white"/>
        </w:rPr>
        <w:t xml:space="preserve">уведомляет об этом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В случае несогласия </w:t>
      </w:r>
      <w:r>
        <w:rPr>
          <w:sz w:val="28"/>
          <w:szCs w:val="28"/>
          <w:highlight w:val="white"/>
        </w:rPr>
        <w:t xml:space="preserve">заявителя </w:t>
      </w:r>
      <w:r>
        <w:rPr>
          <w:sz w:val="28"/>
          <w:szCs w:val="28"/>
          <w:highlight w:val="white"/>
        </w:rPr>
        <w:t xml:space="preserve">с решением, принятым центром социальной поддержки населения, данное решение может быть обжаловано в порядке, установленном законодательством Российской Федерации.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 w:firstLine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2"/>
        <w:ind w:right="-1" w:firstLine="0"/>
        <w:rPr>
          <w:highlight w:val="white"/>
        </w:rPr>
      </w:pPr>
      <w:r>
        <w:rPr>
          <w:highlight w:val="white"/>
        </w:rPr>
        <w:t xml:space="preserve">Е.В. Бахарева</w:t>
      </w:r>
      <w:r>
        <w:rPr>
          <w:highlight w:val="white"/>
        </w:rPr>
      </w:r>
      <w:r>
        <w:rPr>
          <w:highlight w:val="white"/>
        </w:rPr>
      </w:r>
    </w:p>
    <w:p>
      <w:pPr>
        <w:pStyle w:val="672"/>
        <w:ind w:right="-1" w:firstLine="0"/>
        <w:rPr>
          <w:highlight w:val="white"/>
        </w:rPr>
      </w:pPr>
      <w:r>
        <w:rPr>
          <w:highlight w:val="white"/>
        </w:rPr>
        <w:t xml:space="preserve">238 75 10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417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73">
    <w:name w:val="Heading 1"/>
    <w:basedOn w:val="672"/>
    <w:qFormat/>
    <w:pPr>
      <w:jc w:val="right"/>
      <w:keepNext/>
      <w:outlineLvl w:val="0"/>
    </w:pPr>
    <w:rPr>
      <w:sz w:val="28"/>
      <w:lang w:val="en-US"/>
    </w:rPr>
  </w:style>
  <w:style w:type="paragraph" w:styleId="674">
    <w:name w:val="Heading 2"/>
    <w:basedOn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  <w:qFormat/>
  </w:style>
  <w:style w:type="character" w:styleId="68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uiPriority w:val="10"/>
    <w:qFormat/>
    <w:rPr>
      <w:sz w:val="48"/>
      <w:szCs w:val="48"/>
    </w:rPr>
  </w:style>
  <w:style w:type="character" w:styleId="693" w:customStyle="1">
    <w:name w:val="Subtitle Char"/>
    <w:uiPriority w:val="11"/>
    <w:qFormat/>
    <w:rPr>
      <w:sz w:val="24"/>
      <w:szCs w:val="24"/>
    </w:rPr>
  </w:style>
  <w:style w:type="character" w:styleId="694" w:customStyle="1">
    <w:name w:val="Quote Char"/>
    <w:uiPriority w:val="29"/>
    <w:qFormat/>
    <w:rPr>
      <w:i/>
    </w:rPr>
  </w:style>
  <w:style w:type="character" w:styleId="695" w:customStyle="1">
    <w:name w:val="Intense Quote Char"/>
    <w:uiPriority w:val="30"/>
    <w:qFormat/>
    <w:rPr>
      <w:i/>
    </w:rPr>
  </w:style>
  <w:style w:type="character" w:styleId="696" w:customStyle="1">
    <w:name w:val="Header Char"/>
    <w:uiPriority w:val="99"/>
    <w:qFormat/>
  </w:style>
  <w:style w:type="character" w:styleId="697" w:customStyle="1">
    <w:name w:val="Footer Char"/>
    <w:uiPriority w:val="99"/>
    <w:qFormat/>
  </w:style>
  <w:style w:type="character" w:styleId="698" w:customStyle="1">
    <w:name w:val="Caption Char"/>
    <w:uiPriority w:val="99"/>
    <w:qFormat/>
  </w:style>
  <w:style w:type="character" w:styleId="699">
    <w:name w:val="Hyperlink"/>
    <w:uiPriority w:val="99"/>
    <w:unhideWhenUsed/>
    <w:rPr>
      <w:color w:val="0000ff" w:themeColor="hyperlink"/>
      <w:u w:val="single"/>
    </w:rPr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Символ сноски"/>
    <w:uiPriority w:val="99"/>
    <w:unhideWhenUsed/>
    <w:qFormat/>
    <w:rPr>
      <w:vertAlign w:val="superscript"/>
    </w:rPr>
  </w:style>
  <w:style w:type="character" w:styleId="702">
    <w:name w:val="footnote reference"/>
    <w:rPr>
      <w:vertAlign w:val="superscript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5">
    <w:name w:val="endnote reference"/>
    <w:rPr>
      <w:vertAlign w:val="superscript"/>
    </w:rPr>
  </w:style>
  <w:style w:type="character" w:styleId="706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7" w:customStyle="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8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9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0">
    <w:name w:val="annotation reference"/>
    <w:uiPriority w:val="99"/>
    <w:semiHidden/>
    <w:unhideWhenUsed/>
    <w:qFormat/>
    <w:rPr>
      <w:sz w:val="16"/>
      <w:szCs w:val="16"/>
    </w:rPr>
  </w:style>
  <w:style w:type="character" w:styleId="711" w:customStyle="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712">
    <w:name w:val="Strong"/>
    <w:uiPriority w:val="22"/>
    <w:qFormat/>
    <w:rPr>
      <w:b/>
      <w:bCs/>
    </w:rPr>
  </w:style>
  <w:style w:type="paragraph" w:styleId="713">
    <w:name w:val="Заголовок"/>
    <w:basedOn w:val="672"/>
    <w:next w:val="714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14">
    <w:name w:val="Body Text"/>
    <w:basedOn w:val="672"/>
    <w:pPr>
      <w:spacing w:before="0" w:after="140" w:line="276" w:lineRule="auto"/>
    </w:pPr>
  </w:style>
  <w:style w:type="paragraph" w:styleId="715">
    <w:name w:val="List"/>
    <w:basedOn w:val="714"/>
    <w:rPr>
      <w:rFonts w:cs="Droid Sans Devanagari"/>
    </w:rPr>
  </w:style>
  <w:style w:type="paragraph" w:styleId="716">
    <w:name w:val="Caption"/>
    <w:basedOn w:val="67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17">
    <w:name w:val="Указатель"/>
    <w:basedOn w:val="672"/>
    <w:qFormat/>
    <w:pPr>
      <w:suppressLineNumbers/>
    </w:pPr>
    <w:rPr>
      <w:rFonts w:cs="Droid Sans Devanagari"/>
    </w:rPr>
  </w:style>
  <w:style w:type="paragraph" w:styleId="718">
    <w:name w:val="Title"/>
    <w:basedOn w:val="672"/>
    <w:next w:val="71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9">
    <w:name w:val="Caption"/>
    <w:basedOn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0">
    <w:name w:val="index heading"/>
    <w:basedOn w:val="718"/>
    <w:qFormat/>
  </w:style>
  <w:style w:type="paragraph" w:styleId="721">
    <w:name w:val="List Paragraph"/>
    <w:basedOn w:val="672"/>
    <w:uiPriority w:val="34"/>
    <w:qFormat/>
    <w:pPr>
      <w:contextualSpacing/>
      <w:ind w:left="720" w:firstLine="0"/>
      <w:spacing w:before="0" w:after="0"/>
    </w:pPr>
  </w:style>
  <w:style w:type="paragraph" w:styleId="722">
    <w:name w:val="No Spacing"/>
    <w:uiPriority w:val="1"/>
    <w:qFormat/>
    <w:pPr>
      <w:ind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23">
    <w:name w:val="Subtitle"/>
    <w:basedOn w:val="672"/>
    <w:uiPriority w:val="11"/>
    <w:qFormat/>
    <w:pPr>
      <w:spacing w:before="200" w:after="200"/>
    </w:pPr>
    <w:rPr>
      <w:sz w:val="24"/>
      <w:szCs w:val="24"/>
    </w:rPr>
  </w:style>
  <w:style w:type="paragraph" w:styleId="724">
    <w:name w:val="Quote"/>
    <w:basedOn w:val="672"/>
    <w:uiPriority w:val="29"/>
    <w:qFormat/>
    <w:pPr>
      <w:ind w:left="720" w:right="720" w:firstLine="0"/>
    </w:pPr>
    <w:rPr>
      <w:i/>
    </w:rPr>
  </w:style>
  <w:style w:type="paragraph" w:styleId="725">
    <w:name w:val="Intense Quote"/>
    <w:basedOn w:val="672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6" w:customStyle="1">
    <w:name w:val="Колонтитул"/>
    <w:basedOn w:val="672"/>
    <w:qFormat/>
  </w:style>
  <w:style w:type="paragraph" w:styleId="727">
    <w:name w:val="Header"/>
    <w:basedOn w:val="67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28">
    <w:name w:val="Footer"/>
    <w:basedOn w:val="67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29">
    <w:name w:val="footnote text"/>
    <w:basedOn w:val="672"/>
    <w:uiPriority w:val="99"/>
    <w:semiHidden/>
    <w:unhideWhenUsed/>
    <w:pPr>
      <w:spacing w:before="0" w:after="40"/>
    </w:pPr>
    <w:rPr>
      <w:sz w:val="18"/>
    </w:rPr>
  </w:style>
  <w:style w:type="paragraph" w:styleId="730">
    <w:name w:val="endnote text"/>
    <w:basedOn w:val="672"/>
    <w:uiPriority w:val="99"/>
    <w:semiHidden/>
    <w:unhideWhenUsed/>
  </w:style>
  <w:style w:type="paragraph" w:styleId="731">
    <w:name w:val="toc 1"/>
    <w:basedOn w:val="672"/>
    <w:uiPriority w:val="39"/>
    <w:unhideWhenUsed/>
    <w:pPr>
      <w:spacing w:before="0" w:after="57"/>
    </w:pPr>
  </w:style>
  <w:style w:type="paragraph" w:styleId="732">
    <w:name w:val="toc 2"/>
    <w:basedOn w:val="672"/>
    <w:uiPriority w:val="39"/>
    <w:unhideWhenUsed/>
    <w:pPr>
      <w:ind w:left="283" w:firstLine="0"/>
      <w:spacing w:before="0" w:after="57"/>
    </w:pPr>
  </w:style>
  <w:style w:type="paragraph" w:styleId="733">
    <w:name w:val="toc 3"/>
    <w:basedOn w:val="672"/>
    <w:uiPriority w:val="39"/>
    <w:unhideWhenUsed/>
    <w:pPr>
      <w:ind w:left="567" w:firstLine="0"/>
      <w:spacing w:before="0" w:after="57"/>
    </w:pPr>
  </w:style>
  <w:style w:type="paragraph" w:styleId="734">
    <w:name w:val="toc 4"/>
    <w:basedOn w:val="672"/>
    <w:uiPriority w:val="39"/>
    <w:unhideWhenUsed/>
    <w:pPr>
      <w:ind w:left="850" w:firstLine="0"/>
      <w:spacing w:before="0" w:after="57"/>
    </w:pPr>
  </w:style>
  <w:style w:type="paragraph" w:styleId="735">
    <w:name w:val="toc 5"/>
    <w:basedOn w:val="672"/>
    <w:uiPriority w:val="39"/>
    <w:unhideWhenUsed/>
    <w:pPr>
      <w:ind w:left="1134" w:firstLine="0"/>
      <w:spacing w:before="0" w:after="57"/>
    </w:pPr>
  </w:style>
  <w:style w:type="paragraph" w:styleId="736">
    <w:name w:val="toc 6"/>
    <w:basedOn w:val="672"/>
    <w:uiPriority w:val="39"/>
    <w:unhideWhenUsed/>
    <w:pPr>
      <w:ind w:left="1417" w:firstLine="0"/>
      <w:spacing w:before="0" w:after="57"/>
    </w:pPr>
  </w:style>
  <w:style w:type="paragraph" w:styleId="737">
    <w:name w:val="toc 7"/>
    <w:basedOn w:val="672"/>
    <w:uiPriority w:val="39"/>
    <w:unhideWhenUsed/>
    <w:pPr>
      <w:ind w:left="1701" w:firstLine="0"/>
      <w:spacing w:before="0" w:after="57"/>
    </w:pPr>
  </w:style>
  <w:style w:type="paragraph" w:styleId="738">
    <w:name w:val="toc 8"/>
    <w:basedOn w:val="672"/>
    <w:uiPriority w:val="39"/>
    <w:unhideWhenUsed/>
    <w:pPr>
      <w:ind w:left="1984" w:firstLine="0"/>
      <w:spacing w:before="0" w:after="57"/>
    </w:pPr>
  </w:style>
  <w:style w:type="paragraph" w:styleId="739">
    <w:name w:val="toc 9"/>
    <w:basedOn w:val="672"/>
    <w:uiPriority w:val="39"/>
    <w:unhideWhenUsed/>
    <w:pPr>
      <w:ind w:left="2268" w:firstLine="0"/>
      <w:spacing w:before="0" w:after="57"/>
    </w:pPr>
  </w:style>
  <w:style w:type="paragraph" w:styleId="740">
    <w:name w:val="Index Heading"/>
    <w:basedOn w:val="713"/>
  </w:style>
  <w:style w:type="paragraph" w:styleId="74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42">
    <w:name w:val="table of figures"/>
    <w:basedOn w:val="672"/>
    <w:uiPriority w:val="99"/>
    <w:unhideWhenUsed/>
    <w:qFormat/>
  </w:style>
  <w:style w:type="paragraph" w:styleId="743">
    <w:name w:val="Balloon Text"/>
    <w:basedOn w:val="672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styleId="74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en-US" w:bidi="ar-SA"/>
    </w:rPr>
  </w:style>
  <w:style w:type="paragraph" w:styleId="745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46" w:customStyle="1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ru-RU" w:bidi="ar-SA"/>
    </w:rPr>
  </w:style>
  <w:style w:type="paragraph" w:styleId="747">
    <w:name w:val="annotation text"/>
    <w:basedOn w:val="672"/>
    <w:uiPriority w:val="99"/>
    <w:semiHidden/>
    <w:unhideWhenUsed/>
    <w:qFormat/>
  </w:style>
  <w:style w:type="numbering" w:styleId="748" w:default="1">
    <w:name w:val="No List"/>
    <w:uiPriority w:val="99"/>
    <w:semiHidden/>
    <w:unhideWhenUsed/>
    <w:qFormat/>
  </w:style>
  <w:style w:type="table" w:styleId="74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4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</dc:creator>
  <dc:description/>
  <dc:language>ru-RU</dc:language>
  <cp:revision>19</cp:revision>
  <dcterms:created xsi:type="dcterms:W3CDTF">2024-08-16T05:20:00Z</dcterms:created>
  <dcterms:modified xsi:type="dcterms:W3CDTF">2025-09-11T09:23:16Z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