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8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9888"/>
      </w:tblGrid>
      <w:tr>
        <w:tblPrEx/>
        <w:trPr>
          <w:trHeight w:val="2698"/>
        </w:trPr>
        <w:tc>
          <w:tcPr>
            <w:tcW w:w="9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600075"/>
                      <wp:effectExtent l="19050" t="0" r="952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25pt;height:47.25pt;mso-wrap-distance-left:0.00pt;mso-wrap-distance-top:0.00pt;mso-wrap-distance-right:0.00pt;mso-wrap-distance-bottom:0.00pt;" stroked="f" strokeweight="0.75pt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ОБРАЗОВАНИЯ НОВОСИБИРСКОЙ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ЗДРАВООХРАНЕНИЯ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КУЛЬТУРЫ 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ФИЗИЧЕСКОЙ КУЛЬТУРЫ И СПОРТА 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ГЛАВНОЕ УП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РАВЛЕНИЕ МИНИСТЕРСТВА ВНУТРЕННИХ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ДЕЛ РОССИИ ПО 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302"/>
              <w:gridCol w:w="4393"/>
              <w:gridCol w:w="709"/>
              <w:gridCol w:w="2409"/>
            </w:tblGrid>
            <w:tr>
              <w:tblPrEx/>
              <w:trPr>
                <w:trHeight w:val="333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230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439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70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240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>
                <w:trHeight w:val="359"/>
              </w:trPr>
              <w:tc>
                <w:tcPr>
                  <w:gridSpan w:val="4"/>
                  <w:tcW w:w="9813" w:type="dxa"/>
                  <w:textDirection w:val="lrTb"/>
                  <w:noWrap w:val="false"/>
                </w:tcPr>
                <w:p>
                  <w:pPr>
                    <w:ind w:left="0" w:right="32" w:firstLine="0"/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г.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Новосибирск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930"/>
              <w:ind w:left="0" w:right="0" w:firstLine="0"/>
              <w:jc w:val="left"/>
              <w:spacing w:after="0" w:line="322" w:lineRule="exact"/>
              <w:shd w:val="clear" w:color="auto" w:fill="auto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0"/>
              <w:jc w:val="center"/>
              <w:spacing w:after="0" w:line="322" w:lineRule="exact"/>
              <w:shd w:val="clear" w:color="auto" w:fill="auto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приказ министерства труда 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0"/>
              <w:jc w:val="center"/>
              <w:spacing w:after="0" w:line="322" w:lineRule="exact"/>
              <w:shd w:val="clear" w:color="auto" w:fill="auto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социального развития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овосибирской области, министерства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0"/>
              <w:jc w:val="center"/>
              <w:spacing w:after="0" w:line="322" w:lineRule="exact"/>
              <w:shd w:val="clear" w:color="auto" w:fill="auto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овосибирской области, министерства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0"/>
              <w:jc w:val="center"/>
              <w:spacing w:after="0" w:line="322" w:lineRule="exact"/>
              <w:shd w:val="clear" w:color="auto" w:fill="auto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здравоохранения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овосибирской области, министерства культуры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0"/>
              <w:jc w:val="center"/>
              <w:spacing w:after="0" w:line="322" w:lineRule="exact"/>
              <w:shd w:val="clear" w:color="auto" w:fill="auto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овосибирской области, министерства физической культуры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0"/>
              <w:jc w:val="center"/>
              <w:spacing w:after="0" w:line="322" w:lineRule="exact"/>
              <w:shd w:val="clear" w:color="auto" w:fill="auto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спорта 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овосибирской области,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лавного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0"/>
              <w:jc w:val="center"/>
              <w:spacing w:after="0" w:line="322" w:lineRule="exact"/>
              <w:shd w:val="clear" w:color="auto" w:fill="auto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инистерства внутренних дел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оссийской </w:t>
            </w:r>
            <w:r>
              <w:rPr>
                <w:sz w:val="28"/>
                <w:szCs w:val="28"/>
              </w:rPr>
              <w:t xml:space="preserve">Ф</w:t>
            </w:r>
            <w:r>
              <w:rPr>
                <w:sz w:val="28"/>
                <w:szCs w:val="28"/>
              </w:rPr>
              <w:t xml:space="preserve">едерации по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firstLine="0"/>
              <w:jc w:val="center"/>
              <w:spacing w:after="0" w:line="322" w:lineRule="exact"/>
              <w:shd w:val="clear" w:color="auto" w:fill="auto"/>
              <w:tabs>
                <w:tab w:val="left" w:pos="11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27.05.2022 № 596/1072/1656/192/552/371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ind w:firstLine="0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ПРИКАЗЫВАЕМ: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ind w:firstLine="0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Внести в приказ министерства труда и социального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развития Новосибирской области,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министерства образования Новосибирской области,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дравоохранения Новосибирской области, министерства культуры Новосибирской области, министерства физической культуры и спорта Новосибирской области, Главного управления Министерства внутренних дел Российской Федерации по Новосибирской области от 27.05.2022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 596/1072/1656/192/552/371 «Об утверждении Порядка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межведомственного взаимодействия органов и учреждений системы профилактики бе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сиротства» следующие изменения: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ind w:left="0" w:right="0" w:firstLine="709"/>
              <w:jc w:val="both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Пункт 3 изложить в следующей редакции: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-1" w:firstLine="709"/>
              <w:jc w:val="both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«3. Контроль за исполнением приказа возложить на заместителя министра труда и социального 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звития Новосибирской области Марущак Е.Б., заместителя министра образования Новосибирской области Щукина В.Н., заместителя министра здравоохранения Новосибирской области Анохину Т.Ю., заместителя министра физической культуры и спорта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Курносову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М.Н., заместителя министра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en-US"/>
              </w:rPr>
              <w:t xml:space="preserve"> –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начальника управления профессионального искусства, культурного наследия и образования министерства культуры Новосибирской области Рудковскую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И.М.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 руководителя департамента молодежной политики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Королькову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С.В., заместителя начальника Главного управления Министерства внутренних дел Российской Федерации по Новосибирской области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en-US"/>
              </w:rPr>
              <w:t xml:space="preserve"> –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начальника полиции, генерал-майора полиции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Гаврина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К.В.».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-1" w:firstLine="709"/>
              <w:jc w:val="both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 В Порядке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предотвращению детского и семейного неблагополучия, организации работы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 несовершеннолетними и семьями по профилактике социального сиротства: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-1" w:firstLine="709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1) в пункте 3.1 раздела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«Субъекты системы профилактики, участвующие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1" w:firstLine="709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 подпункт 1 дополнить абзацем следующего содержания: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1" w:firstLine="709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-1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б) подпункт 2 после слов «на уровне городских округов» дополнить словами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«, муниципальных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округов»;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931"/>
              <w:ind w:left="0" w:right="-1" w:firstLine="709"/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  <w:t xml:space="preserve">в)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  <w:t xml:space="preserve">подпункт 5 изложить в следующей редакции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930"/>
              <w:ind w:left="10" w:right="0" w:firstLine="699"/>
              <w:jc w:val="both"/>
              <w:spacing w:after="0" w:afterAutospacing="0" w:line="240" w:lineRule="auto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«5)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 о</w:t>
            </w:r>
            <w:r>
              <w:rPr>
                <w:sz w:val="28"/>
                <w:szCs w:val="28"/>
              </w:rPr>
              <w:t xml:space="preserve">рганизация деятельности субъект</w:t>
            </w:r>
            <w:r>
              <w:rPr>
                <w:sz w:val="28"/>
                <w:szCs w:val="28"/>
              </w:rPr>
              <w:t xml:space="preserve">ов системы профилактики, за исключением территориальных органов внутренних дел,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обеспечивается службой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Единое окно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заимодействие субъектов профилактики между собой и со службой «Единое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окно» осуществляется в том числе с использованием информационных систем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на всех этапах деятельности по раннему выявлению и предотвращению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sz w:val="28"/>
                <w:szCs w:val="28"/>
              </w:rPr>
              <w:t xml:space="preserve">детского и семейного неблагополучия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10" w:right="0" w:firstLine="699"/>
              <w:jc w:val="both"/>
              <w:spacing w:after="0" w:afterAutospacing="0" w:line="240" w:lineRule="auto"/>
              <w:shd w:val="clear" w:color="auto" w:fil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Служба «Единое окно» организуется в муниципальной КДНиЗП. Функции по приему, регистрации и проверке сигналов о детском и семейном неблагополучии, взаимодействию с</w:t>
            </w:r>
            <w:bookmarkStart w:id="0" w:name="undefined"/>
            <w:r>
              <w:rPr>
                <w:sz w:val="28"/>
                <w:szCs w:val="28"/>
              </w:rPr>
            </w:r>
            <w:bookmarkEnd w:id="0"/>
            <w:r>
              <w:rPr>
                <w:sz w:val="28"/>
                <w:szCs w:val="28"/>
              </w:rPr>
              <w:t xml:space="preserve"> субъектами с</w:t>
            </w:r>
            <w:r>
              <w:rPr>
                <w:sz w:val="28"/>
                <w:szCs w:val="28"/>
              </w:rPr>
              <w:t xml:space="preserve">истемы профилактики, за исключением территориальных органов внутренних дел, по подготовке материалов для рассмотрения на заседании КДНиЗП возлагаются на куратора службы «Единое окно»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en-US"/>
              </w:rPr>
              <w:t xml:space="preserve"> – </w:t>
            </w:r>
            <w:r>
              <w:rPr>
                <w:sz w:val="28"/>
                <w:szCs w:val="28"/>
              </w:rPr>
              <w:t xml:space="preserve">специалиста, являющегося сотрудником аппарата муниципальной КДНиЗП.</w:t>
            </w:r>
            <w:r>
              <w:rPr>
                <w:sz w:val="28"/>
                <w:szCs w:val="28"/>
                <w:highlight w:val="none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30"/>
              <w:ind w:left="10" w:right="0" w:firstLine="699"/>
              <w:jc w:val="both"/>
              <w:spacing w:after="0" w:afterAutospacing="0" w:line="240" w:lineRule="auto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пункте 4.1 раздела IV «Этапы деятельности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сиротства»: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10" w:firstLine="0"/>
              <w:jc w:val="both"/>
              <w:spacing w:after="0" w:afterAutospacing="0" w:line="240" w:lineRule="auto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а) абзац третий подпункта 5 </w:t>
            </w:r>
            <w:r>
              <w:rPr>
                <w:sz w:val="28"/>
                <w:szCs w:val="28"/>
              </w:rPr>
              <w:t xml:space="preserve">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709"/>
              <w:jc w:val="both"/>
              <w:spacing w:after="0" w:afterAutospacing="0" w:line="240" w:lineRule="auto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 определении уровня риска семейного неблагополучия как среднего, высокого либо угрозы жизни и здоровью куратор службы «Единое окно» выносит на </w:t>
            </w:r>
            <w:r>
              <w:rPr>
                <w:sz w:val="28"/>
                <w:szCs w:val="28"/>
              </w:rPr>
              <w:t xml:space="preserve">рассмотрение муниципальной КДНиЗП проект решения об открытии случая, назначении субъекта системы профилактики, за исключением территориальных органов внутренних дел, ответственного за работу с семьей.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В случае необходимости дается поручение субъектам системы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профилактики о проведении мероприятий, необходимых для оказания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социальной, психологической и медицинской помощи семье, до начала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реализации индивидуального плана социального сопровождения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(реабилитации) семьи, исполнение о реализации мероприятий отражается 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sz w:val="28"/>
                <w:szCs w:val="28"/>
              </w:rPr>
              <w:t xml:space="preserve">плановой части карты комплексного сопровождения семьи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firstLine="708"/>
              <w:jc w:val="both"/>
              <w:spacing w:after="0" w:afterAutospacing="0" w:line="240" w:lineRule="auto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б) </w:t>
            </w:r>
            <w:r>
              <w:rPr>
                <w:sz w:val="28"/>
                <w:szCs w:val="28"/>
              </w:rPr>
              <w:t xml:space="preserve">абзац пятый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подпункта 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709"/>
              <w:jc w:val="both"/>
              <w:spacing w:after="0" w:afterAutospacing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«</w:t>
            </w:r>
            <w:r>
              <w:rPr>
                <w:sz w:val="28"/>
                <w:szCs w:val="28"/>
              </w:rPr>
              <w:t xml:space="preserve">В случае отказа родителя (законного представите</w:t>
            </w:r>
            <w:r>
              <w:rPr>
                <w:sz w:val="28"/>
                <w:szCs w:val="28"/>
              </w:rPr>
              <w:t xml:space="preserve">ля) несовершеннолетнего от помощи в решении факторов детского и (или) семейного неблагополучия, ответственным специалистом предоставляется консультация об организациях, в которых родители (иные законные представители) могут получить необходимые им услуги.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Отказ родителя (законного представителя) от социального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сопровождения оформляется в письменной форме и вносится в программу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сопровождения.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И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нформация об отказе родителя (законного представителя)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несовершеннолетнего от помощи в решении факторов детского и (или)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семейного неблагополучия направляется руководителем организации, ответственн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ым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за работу с несовершеннолетним и его семьей, в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муниципальную КДНиЗП не позднее трех дней с даты получения заявления.»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930"/>
              <w:ind w:left="0" w:right="0" w:firstLine="709"/>
              <w:jc w:val="both"/>
              <w:spacing w:after="0" w:afterAutospacing="0" w:line="240" w:lineRule="auto"/>
              <w:tabs>
                <w:tab w:val="left" w:pos="851" w:leader="none"/>
              </w:tabs>
              <w:rPr>
                <w:color w:val="000000"/>
                <w:sz w:val="28"/>
                <w:szCs w:val="28"/>
                <w:highlight w:val="white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в) абзац шестой подпункта 7 изложить в следующей редакции: </w:t>
            </w: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</w: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</w:r>
          </w:p>
          <w:p>
            <w:pPr>
              <w:pStyle w:val="930"/>
              <w:ind w:left="0" w:right="0" w:firstLine="709"/>
              <w:jc w:val="both"/>
              <w:spacing w:after="0" w:afterAutospacing="0" w:line="240" w:lineRule="auto"/>
              <w:tabs>
                <w:tab w:val="left" w:pos="851" w:leader="none"/>
              </w:tabs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«</w:t>
            </w:r>
            <w:r>
              <w:rPr>
                <w:sz w:val="28"/>
                <w:szCs w:val="28"/>
                <w:highlight w:val="white"/>
              </w:rPr>
              <w:t xml:space="preserve">с</w:t>
            </w:r>
            <w:r>
              <w:rPr>
                <w:sz w:val="28"/>
                <w:szCs w:val="28"/>
              </w:rPr>
              <w:t xml:space="preserve">овместно с семьей заполняет проект индивидуального плана социального сопровождения (реабилитации) семьи (далее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en-US"/>
              </w:rPr>
              <w:t xml:space="preserve"> – </w:t>
            </w:r>
            <w:r>
              <w:rPr>
                <w:sz w:val="28"/>
                <w:szCs w:val="28"/>
              </w:rPr>
              <w:t xml:space="preserve">индивидуальный план) (плановая часть карты сопровождения),</w:t>
            </w:r>
            <w:r>
              <w:rPr>
                <w:color w:val="000000"/>
                <w:sz w:val="28"/>
                <w:szCs w:val="28"/>
                <w:highlight w:val="none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а</w:t>
            </w: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 также отражает информацию о проводимой с семьей работе </w:t>
            </w: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на </w:t>
            </w: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электронных ресурс</w:t>
            </w: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ах;</w:t>
            </w:r>
            <w:r>
              <w:rPr>
                <w:color w:val="000000"/>
                <w:sz w:val="28"/>
                <w:szCs w:val="28"/>
                <w:highlight w:val="white"/>
                <w:lang w:eastAsia="ru-RU" w:bidi="ru-RU"/>
              </w:rPr>
              <w:t xml:space="preserve">»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930"/>
              <w:ind w:left="0" w:right="0" w:firstLine="709"/>
              <w:jc w:val="both"/>
              <w:spacing w:after="0" w:afterAutospacing="0" w:line="240" w:lineRule="auto"/>
              <w:tabs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г) </w:t>
            </w:r>
            <w:r>
              <w:rPr>
                <w:sz w:val="28"/>
                <w:szCs w:val="28"/>
              </w:rPr>
              <w:t xml:space="preserve">абзац восемнадцатый подпункта 7 изложить в следующей редакции: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ind w:left="0" w:right="0" w:firstLine="709"/>
              <w:jc w:val="both"/>
              <w:spacing w:after="0" w:afterAutospacing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тражает динамику процессов, протекающих в семье, процессов организации работы с семьей и выполнения мероприятий индивидуального плана, результаты которого вносятся в результативную часть карты сопрово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ждения. Копия заполненной результативной части карты сопровождения семьи направляется для рассмотрения и оценки эффективности проводимых мероприятий на Территориальном консилиуме в течение трех дней со дня окончания срока реализации индивидуального плана.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Решение Территориального консилиума направляется в течение трех дней со дня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рассмотрения результатов выполнения мероприятий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индивидуального плана в муниципальную КДНиЗП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принятия решения о дальнейшей работе с семьей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3)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приложение № 11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 Порядку межведомственного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взаимодействия органов и учреждений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системы профилактики безнадзорности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правонарушений несовершеннолетних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 по раннему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выявлению и предотвращению детского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семейного неблагополучия, организации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работы с несовершеннолетними и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семьями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профилактике социального сиротства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изложить в редакции согласно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приложению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№ 1 к настоящему приказу;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0"/>
              <w:ind w:left="0" w:right="0" w:firstLine="709"/>
              <w:jc w:val="both"/>
              <w:spacing w:after="0" w:afterAutospacing="0" w:line="240" w:lineRule="auto"/>
              <w:tabs>
                <w:tab w:val="left" w:pos="709" w:leader="none"/>
              </w:tabs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4) 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приложение № 12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 Порядку межведомственного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взаимодействия органов и учреждений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системы профилактики безнадзорности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правонарушений несовершеннолетних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 по раннему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выявлению и предотвращению детского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семейного неблагополучия, организации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работы с несовершеннолетними и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семьями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профилактике социального сиротства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изложить в редакции согласно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приложению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№ 2 к настоящему приказу.</w:t>
            </w:r>
            <w:r>
              <w:rPr>
                <w:color w:val="000000"/>
                <w:sz w:val="28"/>
                <w:szCs w:val="28"/>
                <w:lang w:eastAsia="ru-RU" w:bidi="ru-RU"/>
              </w:rPr>
            </w:r>
            <w:r>
              <w:rPr>
                <w:color w:val="000000"/>
                <w:sz w:val="28"/>
                <w:szCs w:val="28"/>
                <w:lang w:eastAsia="ru-RU" w:bidi="ru-RU"/>
              </w:rPr>
            </w:r>
          </w:p>
          <w:p>
            <w:pPr>
              <w:ind w:right="-104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04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-104"/>
              <w:spacing w:after="0" w:line="240" w:lineRule="auto"/>
              <w:tabs>
                <w:tab w:val="left" w:pos="825" w:leader="none"/>
                <w:tab w:val="left" w:pos="9472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tbl>
      <w:tblPr>
        <w:tblStyle w:val="77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524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924"/>
              <w:ind w:left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труда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924"/>
              <w:ind w:left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Министр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93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  <w:t xml:space="preserve">Е.В. Бахарева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931"/>
              <w:ind w:left="0" w:right="-75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  <w:t xml:space="preserve">М.Н. Жафярова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93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93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924"/>
              <w:ind w:left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1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3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Р.М. Заблоцкий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  <w:lang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bidi="ru-RU"/>
              </w:rPr>
              <w:t xml:space="preserve">Ю.К. Шуклина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И. о. руководителя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департамента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425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молодежной политики            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425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С.А. Ахапов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С.В. Королькова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ГУ МВД России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генерал-лейтенант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полиции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А.В. Кульков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0"/>
        <w:jc w:val="both"/>
        <w:spacing w:after="0" w:line="235" w:lineRule="auto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0"/>
        <w:jc w:val="both"/>
        <w:spacing w:after="0" w:line="235" w:lineRule="auto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0"/>
        <w:jc w:val="both"/>
        <w:spacing w:after="0" w:line="235" w:lineRule="auto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0"/>
        <w:jc w:val="both"/>
        <w:spacing w:after="0" w:line="235" w:lineRule="auto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0"/>
        <w:jc w:val="both"/>
        <w:spacing w:after="0" w:line="235" w:lineRule="auto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ОГЛАСОВАНО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: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</w:t>
      </w:r>
      <w:r>
        <w:rPr>
          <w:rFonts w:ascii="Times New Roman" w:hAnsi="Times New Roman"/>
          <w:sz w:val="28"/>
          <w:szCs w:val="28"/>
        </w:rPr>
        <w:t xml:space="preserve">труда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социального развития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/>
          <w:sz w:val="28"/>
          <w:szCs w:val="28"/>
        </w:rPr>
        <w:t xml:space="preserve">Е.Б. Марущак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организации деятельности КДН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семейной политики и защиты прав детей </w:t>
      </w:r>
      <w:r>
        <w:rPr>
          <w:rFonts w:ascii="Times New Roman" w:hAnsi="Times New Roman"/>
          <w:sz w:val="28"/>
          <w:szCs w:val="28"/>
        </w:rPr>
        <w:t xml:space="preserve">                    Ю.В. Гутова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 w:right="0" w:firstLine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>
        <w:rPr>
          <w:rFonts w:ascii="Times New Roman" w:hAnsi="Times New Roman"/>
          <w:sz w:val="28"/>
          <w:szCs w:val="28"/>
        </w:rPr>
        <w:t xml:space="preserve">управления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Е.В. </w:t>
      </w:r>
      <w:r>
        <w:rPr>
          <w:rFonts w:ascii="Times New Roman" w:hAnsi="Times New Roman"/>
          <w:sz w:val="28"/>
          <w:szCs w:val="28"/>
        </w:rPr>
        <w:t xml:space="preserve">Нарубина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контроля-канцелярия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организационно-кадровой работы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Ю.В. Ивкина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 w:right="0" w:firstLine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организационно-кадровой работы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Э.В. </w:t>
      </w:r>
      <w:r>
        <w:rPr>
          <w:rFonts w:ascii="Times New Roman" w:hAnsi="Times New Roman"/>
          <w:sz w:val="28"/>
          <w:szCs w:val="28"/>
        </w:rPr>
        <w:t xml:space="preserve">Юрищев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экз. – в дело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</w:t>
      </w:r>
      <w:r>
        <w:rPr>
          <w:rFonts w:ascii="Times New Roman" w:hAnsi="Times New Roman"/>
          <w:sz w:val="20"/>
        </w:rPr>
        <w:t xml:space="preserve"> экз. – </w:t>
      </w:r>
      <w:r>
        <w:rPr>
          <w:rFonts w:ascii="Times New Roman" w:hAnsi="Times New Roman"/>
          <w:sz w:val="20"/>
        </w:rPr>
        <w:t xml:space="preserve">в управление семейной политики и защиты прав детей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экз. – в </w:t>
      </w:r>
      <w:r>
        <w:rPr>
          <w:rFonts w:ascii="Times New Roman" w:hAnsi="Times New Roman"/>
          <w:sz w:val="20"/>
        </w:rPr>
        <w:t xml:space="preserve">правовое управление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924"/>
        <w:ind w:left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экз. – в отдел</w:t>
      </w:r>
      <w:r>
        <w:rPr>
          <w:rFonts w:ascii="Times New Roman" w:hAnsi="Times New Roman"/>
          <w:sz w:val="20"/>
        </w:rPr>
        <w:t xml:space="preserve"> контроля-канцелярия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Е.Н. Болотенко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238 75 28                                                                                                                                                                        НПА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1" w:bottom="1134" w:left="1417" w:header="567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</w:pPr>
    <w:r/>
    <w:r/>
  </w:p>
  <w:p>
    <w:pPr>
      <w:pStyle w:val="92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</w:pPr>
    <w:r/>
    <w:r/>
  </w:p>
  <w:p>
    <w:pPr>
      <w:pStyle w:val="9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9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</w:pPr>
    <w:r/>
    <w:r/>
  </w:p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5"/>
    <w:next w:val="915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basedOn w:val="916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5"/>
    <w:next w:val="915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basedOn w:val="916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5"/>
    <w:next w:val="915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basedOn w:val="916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5"/>
    <w:next w:val="915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basedOn w:val="916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5"/>
    <w:next w:val="915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basedOn w:val="916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5"/>
    <w:next w:val="915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basedOn w:val="916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5"/>
    <w:next w:val="915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basedOn w:val="916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5"/>
    <w:next w:val="915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basedOn w:val="91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5"/>
    <w:next w:val="915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basedOn w:val="916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5"/>
    <w:next w:val="91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16"/>
    <w:link w:val="759"/>
    <w:uiPriority w:val="10"/>
    <w:rPr>
      <w:sz w:val="48"/>
      <w:szCs w:val="48"/>
    </w:rPr>
  </w:style>
  <w:style w:type="paragraph" w:styleId="761">
    <w:name w:val="Subtitle"/>
    <w:basedOn w:val="915"/>
    <w:next w:val="915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16"/>
    <w:link w:val="761"/>
    <w:uiPriority w:val="11"/>
    <w:rPr>
      <w:sz w:val="24"/>
      <w:szCs w:val="24"/>
    </w:rPr>
  </w:style>
  <w:style w:type="paragraph" w:styleId="763">
    <w:name w:val="Quote"/>
    <w:basedOn w:val="915"/>
    <w:next w:val="915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5"/>
    <w:next w:val="915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basedOn w:val="916"/>
    <w:link w:val="926"/>
    <w:uiPriority w:val="99"/>
  </w:style>
  <w:style w:type="character" w:styleId="768">
    <w:name w:val="Footer Char"/>
    <w:basedOn w:val="916"/>
    <w:link w:val="928"/>
    <w:uiPriority w:val="99"/>
  </w:style>
  <w:style w:type="paragraph" w:styleId="769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769"/>
    <w:link w:val="928"/>
    <w:uiPriority w:val="99"/>
  </w:style>
  <w:style w:type="table" w:styleId="771">
    <w:name w:val="Table Grid"/>
    <w:basedOn w:val="9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6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6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916" w:default="1">
    <w:name w:val="Default Paragraph Font"/>
    <w:uiPriority w:val="1"/>
    <w:semiHidden/>
    <w:unhideWhenUsed/>
  </w:style>
  <w:style w:type="table" w:styleId="9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8" w:default="1">
    <w:name w:val="No List"/>
    <w:uiPriority w:val="99"/>
    <w:semiHidden/>
    <w:unhideWhenUsed/>
  </w:style>
  <w:style w:type="paragraph" w:styleId="919">
    <w:name w:val="Body Text Indent 3"/>
    <w:basedOn w:val="915"/>
    <w:link w:val="920"/>
    <w:unhideWhenUsed/>
    <w:pPr>
      <w:ind w:left="480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20" w:customStyle="1">
    <w:name w:val="Основной текст с отступом 3 Знак"/>
    <w:basedOn w:val="916"/>
    <w:link w:val="91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1">
    <w:name w:val="Balloon Text"/>
    <w:basedOn w:val="915"/>
    <w:link w:val="9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basedOn w:val="916"/>
    <w:link w:val="92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23">
    <w:name w:val="List Paragraph"/>
    <w:basedOn w:val="915"/>
    <w:uiPriority w:val="34"/>
    <w:qFormat/>
    <w:pPr>
      <w:contextualSpacing/>
      <w:ind w:left="720"/>
    </w:pPr>
  </w:style>
  <w:style w:type="paragraph" w:styleId="924">
    <w:name w:val="Body Text Indent"/>
    <w:basedOn w:val="915"/>
    <w:link w:val="925"/>
    <w:uiPriority w:val="99"/>
    <w:unhideWhenUsed/>
    <w:pPr>
      <w:ind w:left="283"/>
      <w:spacing w:after="120"/>
    </w:pPr>
  </w:style>
  <w:style w:type="character" w:styleId="925" w:customStyle="1">
    <w:name w:val="Основной текст с отступом Знак"/>
    <w:basedOn w:val="916"/>
    <w:link w:val="924"/>
    <w:uiPriority w:val="99"/>
    <w:rPr>
      <w:rFonts w:ascii="Calibri" w:hAnsi="Calibri" w:eastAsia="Times New Roman" w:cs="Times New Roman"/>
      <w:lang w:eastAsia="ru-RU"/>
    </w:rPr>
  </w:style>
  <w:style w:type="paragraph" w:styleId="926">
    <w:name w:val="Header"/>
    <w:basedOn w:val="915"/>
    <w:link w:val="9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7" w:customStyle="1">
    <w:name w:val="Верхний колонтитул Знак"/>
    <w:basedOn w:val="916"/>
    <w:link w:val="926"/>
    <w:uiPriority w:val="99"/>
    <w:rPr>
      <w:rFonts w:ascii="Calibri" w:hAnsi="Calibri" w:eastAsia="Times New Roman" w:cs="Times New Roman"/>
      <w:lang w:eastAsia="ru-RU"/>
    </w:rPr>
  </w:style>
  <w:style w:type="paragraph" w:styleId="928">
    <w:name w:val="Footer"/>
    <w:basedOn w:val="915"/>
    <w:link w:val="9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9" w:customStyle="1">
    <w:name w:val="Нижний колонтитул Знак"/>
    <w:basedOn w:val="916"/>
    <w:link w:val="928"/>
    <w:uiPriority w:val="99"/>
    <w:rPr>
      <w:rFonts w:ascii="Calibri" w:hAnsi="Calibri" w:eastAsia="Times New Roman" w:cs="Times New Roman"/>
      <w:lang w:eastAsia="ru-RU"/>
    </w:rPr>
  </w:style>
  <w:style w:type="paragraph" w:styleId="930" w:customStyle="1">
    <w:name w:val="Основной текст (2)"/>
    <w:basedOn w:val="878"/>
    <w:link w:val="88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3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1355-50D9-4D13-B08A-12DE9A24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lmv</dc:creator>
  <cp:revision>57</cp:revision>
  <dcterms:created xsi:type="dcterms:W3CDTF">2020-10-01T07:59:00Z</dcterms:created>
  <dcterms:modified xsi:type="dcterms:W3CDTF">2025-03-31T07:38:10Z</dcterms:modified>
</cp:coreProperties>
</file>