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spacing w:after="0" w:afterAutospacing="0" w:line="17" w:lineRule="atLeas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01.08.2017 № 296-п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1. 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70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01.08.2017 № 296-п «Об утверждении Положения о министерстве труда и социального развития Новосибирской области»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Положении о министерстве труда и социального развития Новосибирской области: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8: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подпункт 5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«5)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регистрация граждан в целях поиска подходящей работы, а также регистрация безработных граждан;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б)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подпункты 5.1, 6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признать утратившими силу;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в)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подпункты 7, 8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«7)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утверждение перечня востребованных на рынке труда профессий, специальностей;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рганизация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Российской Федерации назначена страховая пенсия по старости и которые стремятся возобновить трудовую деятельность, направленными органами службы занятости для прохождения профессионального обучения, получения дополнительного профессионального образования;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подпункт 34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подпункт 41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предоставление основных мер государственной поддержки в сфере занятости населения: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содействие гражданам в поиске подходящей работы, включая оказание содействия в составлении анкеты;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организация временного трудоустройства несовершеннолетних граждан в возрасте от 14 до 18 лет в свободное от учебы время;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организация временного трудоустройства безработных граждан, испытывающих трудности в поиске работы;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г) организация проведения оплачиваемых общественных работ;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д) социальная адаптация граждан, ищущих работу, безработных граждан;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е) 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ж) психологическая поддержка безработных граждан;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з) 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к) 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л) 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года № 53-ФЗ «О воинско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года № 61-ФЗ «Об обороне», а также граждан, относящихся к членам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их семей в соответствии с пунктами 5 и 5.1 статьи 2 Федерального закона от 27 мая 1998 года № 76-ФЗ «О статусе военнослужащих»;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м) организация сопровождения при содействии занятости инвалидов;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н) содействие работодателям в подборе необходимых работников;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о) организация ярмарок вакансий и учебных рабочих мест;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п) организация и проведение специальных мероприятий по профилированию граждан, ищущих работу, безработных граждан и работодателей;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р) информирование о положении на рынке труда в Новосибирской области, социально-трудовых правах граждан, развитии форм занятости.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дпункт 42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«42) предоставление дополнительных мер государственной поддержки в сфере занятости населения, в том числе направленные: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содействие занятости граждан, особо нуждающихся в социальной защите в соответствии с постановлением Правительства Новосибирской области, граждан, испытывающих трудности в поиске работы, граждан, находящихся под риском увольнения;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создание условий для совмещения незанятыми многодетными родителями, незанятыми родителями, усыновителями, опекунами (попечителями), воспитывающими детей-инвалидов, обязанностей по воспитанию детей с трудовой деятельностью;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поощрение работодателей, сохраняющих действующие и создающих новые рабочие места прежде всего для граждан, испытывающих трудности в поиске работы;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содействие работодателям в создании специальных рабочих мест для трудоустройства инвалидов;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содействие работодателям в реализации мероприятий по обеспечению занятости граждан, находящихся под риском увольнения;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снижение напряженности на рынке труда в новосибирской области и развитие рынка труда в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повышение мобильности трудовых ресурсов;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организацию прохождения профессионального обучения, получения дополнительного профессионального образования гражданами, находящимися под риском увольнения, молодежью, иными категориями граждан;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содействие занятости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года № 53-ФЗ «О воинской обязанности и военн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</w:t>
        <w:br/>
        <w:t xml:space="preserve">от 31 мая 1996 года № 61-ФЗ «Об обороне», а также граждан, относящихся к членам их семей в соответст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вии с пунктами 5 и 5.1 статьи 2 Федерального закона от 27 мая 1998 года № 76-ФЗ «О статусе военнослужащих»;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 45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«45)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разработка и реализация государственных программ Новосибирской области в сфере занятости населения;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 95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95) осуществление правового, организационно-методического, информационного обеспечения деятельности органов местного самоуправления по осуществлению переданных им отдельных государственных полномочий Новосибирской области (далее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отдельные государственные полномочия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):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обеспечению социального обслуживания отдельных категорий граждан;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предоставлению единовременной денежной выплаты на обеспечение условий доступности для инвалида жилого помещения;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в) по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предоставлению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</w:t>
      </w:r>
      <w:r>
        <w:rPr>
          <w:rFonts w:ascii="Times New Roman" w:hAnsi="Times New Roman"/>
          <w:sz w:val="28"/>
          <w:szCs w:val="28"/>
          <w:highlight w:val="white"/>
        </w:rPr>
        <w:t xml:space="preserve"> Закона Новосибирской области от 5 декабря 2016 года № 112-ОЗ «Об отдельных вопросах регулирования земельных отношений на территории Новосибирской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/>
          <w:sz w:val="28"/>
          <w:szCs w:val="28"/>
          <w:highlight w:val="white"/>
        </w:rPr>
        <w:t xml:space="preserve">) по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предоставлению отдельным категориям граждан единовременной денежной выплаты взамен земельного участка для индивидуального жилищного строительства, предусмотренной статьей 6.2 Закона Новосибирской области </w:t>
        <w:br/>
        <w:t xml:space="preserve">от 5 декабря 2016 года № 112-ОЗ «Об отдельных вопр</w:t>
      </w:r>
      <w:r>
        <w:rPr>
          <w:rFonts w:ascii="Times New Roman" w:hAnsi="Times New Roman"/>
          <w:sz w:val="28"/>
          <w:szCs w:val="28"/>
          <w:highlight w:val="white"/>
        </w:rPr>
        <w:t xml:space="preserve">осах регулирования земельных отношений на территории Новосибирской области»;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д) по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организации и осуществлению деят</w:t>
      </w:r>
      <w:r>
        <w:rPr>
          <w:rFonts w:ascii="Times New Roman" w:hAnsi="Times New Roman"/>
          <w:sz w:val="28"/>
          <w:szCs w:val="28"/>
          <w:highlight w:val="white"/>
        </w:rPr>
        <w:t xml:space="preserve">ельности по опеке и попечительству, </w:t>
      </w:r>
      <w:r>
        <w:rPr>
          <w:rFonts w:ascii="Times New Roman" w:hAnsi="Times New Roman"/>
          <w:sz w:val="28"/>
          <w:szCs w:val="28"/>
          <w:highlight w:val="white"/>
        </w:rPr>
        <w:t xml:space="preserve">социальной поддержке детей-сирот и детей, оставшихся без попечения родителей;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е)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организации и осуществлению мероприятий по оказанию помощи лицам, находя</w:t>
      </w:r>
      <w:r>
        <w:rPr>
          <w:rFonts w:ascii="Times New Roman" w:hAnsi="Times New Roman"/>
          <w:sz w:val="28"/>
          <w:szCs w:val="28"/>
          <w:highlight w:val="white"/>
        </w:rPr>
        <w:t xml:space="preserve">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ж)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з)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созданию и осуществлению деятельности комиссий по делам несовершенно</w:t>
      </w:r>
      <w:r>
        <w:rPr>
          <w:rFonts w:ascii="Times New Roman" w:hAnsi="Times New Roman"/>
          <w:sz w:val="28"/>
          <w:szCs w:val="28"/>
          <w:highlight w:val="white"/>
        </w:rPr>
        <w:t xml:space="preserve">летних и защите их прав </w:t>
      </w:r>
      <w:r>
        <w:rPr>
          <w:rFonts w:ascii="Times New Roman" w:hAnsi="Times New Roman"/>
          <w:sz w:val="28"/>
          <w:szCs w:val="28"/>
          <w:highlight w:val="white"/>
        </w:rPr>
        <w:t xml:space="preserve">на территории 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подпункт 96 после слов «</w:t>
      </w: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государственных полномочий» дополнить словами «Новосибирской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п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одпункты 117, 118, 124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признать утратившими силу;</w:t>
      </w:r>
      <w:r>
        <w:rPr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128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28) предоставление меры поддержки участковых уполномоченных полиции, сотрудников патрульно-постовой службы полиции, сотрудников специализированных подразделений по охране общественного порядка (в перевозочном и технологическом секторах объектов транспортно</w:t>
      </w:r>
      <w:r>
        <w:rPr>
          <w:rFonts w:ascii="Times New Roman" w:hAnsi="Times New Roman"/>
          <w:sz w:val="28"/>
          <w:szCs w:val="28"/>
          <w:highlight w:val="white"/>
        </w:rPr>
        <w:t xml:space="preserve">й инфраструктуры) управления на транспорте Министерства внутренних дел Российской Федерации по Сибирскому федеральному округу, </w:t>
      </w:r>
      <w:r>
        <w:rPr>
          <w:rFonts w:ascii="Times New Roman" w:hAnsi="Times New Roman"/>
          <w:sz w:val="28"/>
          <w:szCs w:val="28"/>
          <w:highlight w:val="white"/>
        </w:rPr>
        <w:t xml:space="preserve">сотрудников подведомственных учреждений Главного управления Федеральной службы исполнения наказаний по Новосибирской области, проходящих службу в исправительных центрах (участках исправительн</w:t>
      </w:r>
      <w:r>
        <w:rPr>
          <w:rFonts w:ascii="Times New Roman" w:hAnsi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</w:rPr>
        <w:t xml:space="preserve">х центров), в изолированных участках, функционирующих как исправительные центры, при исправительных учреждениях Главного управления Федеральной службы исполнения наказаний по Новосибирской области, замещающих должности младшего начальствующего состава, сот</w:t>
      </w:r>
      <w:r>
        <w:rPr>
          <w:rFonts w:ascii="Times New Roman" w:hAnsi="Times New Roman"/>
          <w:sz w:val="28"/>
          <w:szCs w:val="28"/>
          <w:highlight w:val="white"/>
        </w:rPr>
        <w:t xml:space="preserve">рудников отдела полиции на метрополитене Управления Министерства внутренних дел Российской Федерации по городу Новосибирску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лиц, замещающих должности младшего начальствующего состава Федерального государственного казенного учреждения «Управление вневедом</w:t>
      </w:r>
      <w:r>
        <w:rPr>
          <w:rFonts w:ascii="Times New Roman" w:hAnsi="Times New Roman"/>
          <w:sz w:val="28"/>
          <w:szCs w:val="28"/>
          <w:highlight w:val="white"/>
        </w:rPr>
        <w:t xml:space="preserve">ственной охраны войск национальной гвардии Российской Федерации по Новосибирской области»;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м) дополнить подпунктом 133 следующего содержания: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«133)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 оказанию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единовременной материальной помощи военнослужащим, принимающим (принимавшим) участие в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специальная военная опера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ция)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 получившим увечье (контузию, травму, ранение) в ходе проведения специальной военной операции с 24 февраля 2022 года, в результате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участия в боевых действиях на территориях субъектов Российской Федерации, на которых Указом Президента Российской Федерации от 19.10.2022 № 757 «О мерах, осуществляемых в субъектах Российской Федерации в связи с Указом Президента Российской Федерации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19 октября 2022 г. № 756» введен средний уровень реагирования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(далее – субъекты со средним уровнем реагирования)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 являющимся гражданами Российской Федерации и на дату получения увечья (контузии, травмы, ранения) постоянно проживающими на территории Новосибирской области, либо зарегистрированн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ми на территории Новосибирской области, либо призванными (заключившими контракт о прохождении военной службы) на территории Новосибирской области, а также лицам, заключившим контракт о добровольном содействии в выполнении задач, возложенных на Вооруженные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илы Российской Федерации (войска Росгвардии), лицам, проходящим службу в войсках Росгвардии и имеющим специальные звания полиции, сотрудникам органов внутренних дел Российской Федерации, принимающим (принимавшим) участие в специальной военной операции, а 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акже 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задачи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 обеспечению безопасности Российской Федерации на участках, примыкающих к районам проведения специальной военной операции, получившим увечье (контузию, травму, ранение) в ходе проведения специальной военной операции, участия в боевых действиях на террито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риях субъектов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со средним уровнем реагирования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(при выполнении задач) с 24 февраля 2022 года, являющимся гражданами Российской Федерации и на дату получения увечья (контузии, травмы, ранения) постоянно проживающими на территории Новосибирской области либо з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арегистрированными на территории Новосибирской области;»;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10: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а) подпункты 1, 4, 6-9, 12, 13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признать утратившими силу;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подпункт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«28) по выдаче удостоверения, подтверждающего статус многодетной семьи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Российской Федерации;»;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«50) по назначению и выплате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денежных пособий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лицам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военной службы,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граждан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, имеющи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специальные звания полиции, уволенны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х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со службы в войсках национальной гвардии Российской Федерации, 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участник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ов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специальной военной операции, ставши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м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инвалидами вследствие </w:t>
      </w:r>
      <w:r>
        <w:rPr>
          <w:rFonts w:ascii="Times New Roman" w:hAnsi="Times New Roman" w:eastAsia="Calibri"/>
          <w:sz w:val="28"/>
          <w:szCs w:val="28"/>
          <w:highlight w:val="white"/>
          <w:lang w:eastAsia="zh-CN"/>
        </w:rPr>
        <w:t xml:space="preserve">ранения, контузии, увечья или заболевания, полученных в ходе боевых действий,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 и членам семей погибших участников боевых действий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;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»</w:t>
      </w:r>
      <w:r>
        <w:rPr>
          <w:rFonts w:ascii="Times New Roman" w:hAnsi="Times New Roman" w:eastAsia="Calibri"/>
          <w:bCs/>
          <w:sz w:val="28"/>
          <w:szCs w:val="28"/>
          <w:highlight w:val="white"/>
          <w:lang w:eastAsia="zh-CN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99, 103, 108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признать утратившими силу;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11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117)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оказанию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единовременной материальной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ших службу в войсках национальной гвардии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Росгвардия)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вующими или объявленных умершими) в результате участия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специальная военная опера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ция),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участия в боевых действиях на территориях субъектов Российской Федерации, на которых Указом Президента Российской Федерации от 19.10.2022 № 757 «О мерах, осуществляемых в субъектах Российской Федерации в связи с Указом Президента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19 октября 2022 г. № 756» введен средний уровень реагирования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 также военнослужащих органов федеральной службы безопасности, непосредственно выполнявших задачи по охране государственной границы Российс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кой Федерации на участках, примыкающих к районам проведения специальной военной операции, с 30 сентября 2022 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задачи по обеспечению безопасности Российской Федерации на участках, примыкающих к районам проведения специальной военной операции, погибших (у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мерших, признанных в установленном порядке безвестно отсутствующими или объявленных умершими)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погибшие (умершие) военнослужащие),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являвшихся гражданами Российской Федерации и на дату гибели (смерти) постоянно проживавших на территории Новосибирской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области, либо зарегистрированных на территории Новосибирской области и проходивших службу в воинских частях, территориальных органах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Росгвардии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в подразделениях органов внутренних дел Российской Федерации, расположенных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118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ж) подпункт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ы 11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9, 120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119) порядок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предоставления дополнительной единовременной выплаты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членам семей погибших (умерших) граждан, направленных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(командированных) для выполнения задач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 территориях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Донецкой Народной Республики, Луганской Народной Республики,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Запорожской области, Херсонской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 замещавших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государственные должности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области,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муниципальные должности, государственных гражданских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служащих Новосибирской области, муниципальных служащих,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работников, замещавших в органах публичной власти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Новосибирской области должности, не отнесенные к должностям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государственной или муниципальной службы, работников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организаций и учреждений, подведомственных органам публичной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власти Новосибирской области, а также работников иных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организаций, расположенных на территории Новосибирской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области, принимавших непосредственное участие в выполнении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работ (оказании услуг) по обеспечению жизнедеятельности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населения и (или) восстановлению объектов инфраструктуры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(в том числе по восстановлению вооружения, военной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 специальной техники), фортификационному оборудованию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рубежей и позиций на территориях донецкой народной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республики, луганской народной республики, запорожской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области, херсонской области, либо таких граждан (служащих,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работников), направленных (командированных) для выполнения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задач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 территориях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Донецкой Народной Республики, Луганской Народной Республики,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Запорожской области, Херсонской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умерших до истечения одного года со дня их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возвращения на территорию Российской Федерации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вследствие увечья (ранения, травмы, контузии) или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заболевания, полученных ими при выполнении указанных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задач, работ (оказании услуг); </w:t>
      </w:r>
      <w:r>
        <w:rPr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120) порядок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предоставления дополнительной единовременной выплаты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направленным (командированным) для выполнения задач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 территориях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Донецкой Народной Республики, Луганской Народной Республики,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Запорожской области, Херсонской области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гражданам, замещающим государственные должности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Новосибирской области, муниципальные должности,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государственным гражданским служащим Новосибирской области,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муниципальным служащим, работникам, замещающим в органах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публичной власти Новосибирской области должности,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не отнесенные к должностям государственной или муниципальной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службы, работникам организаций и учреждений,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подведомственных органам публичной власти Новосибирской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области, а также работникам иных организаций, расположенных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 территории Новосибирской области, принимавшим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непосредственное участие в выполнении работ (оказании услуг)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 обеспечению жизнедеятельности населения и (или)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восстановлению объектов инфраструктуры (в том числе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 восстановлению вооружения, военной и специальной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техники), фортификационному оборудованию рубежей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 позиций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 территориях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Донецкой Народной Республики, Луганской Народной Республики,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Запорожской области, Херсонской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получившим увечье (ранение,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травму, контузию) при выполнении указанных задач,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работ (оказании услуг)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подпункт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122 признать утратившим силу;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дополнить подпунктом 124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«124) по предоставлению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единовременной материальной помощи отдельным категориям членов семьи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погибши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х (умерших вследствие увечья (контузии, травмы, ранения)) в ходе специальной военной операции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пункт 11.1 дополнить подпунктами 4, 5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«4)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строительства, предусмотренной статьей 6.1</w:t>
      </w:r>
      <w:r>
        <w:rPr>
          <w:rFonts w:ascii="Times New Roman" w:hAnsi="Times New Roman"/>
          <w:sz w:val="28"/>
          <w:szCs w:val="28"/>
          <w:highlight w:val="white"/>
        </w:rPr>
        <w:t xml:space="preserve"> Закона Новосибирской области от 5 декабря 2016 года № 112-ОЗ «Об отдельных вопросах регулирования земельных отношений на территории Новосибирской области»;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отдельным категориям граждан единовременной денежной выплаты взамен земельного участка для индивидуального жилищного строительства, предусмотренной статьей 6.2 Закона Новосибирской области </w:t>
        <w:br/>
        <w:t xml:space="preserve">от 5 декабря 2016 года № 112-ОЗ «Об отдельных вопр</w:t>
      </w:r>
      <w:r>
        <w:rPr>
          <w:rFonts w:ascii="Times New Roman" w:hAnsi="Times New Roman"/>
          <w:sz w:val="28"/>
          <w:szCs w:val="28"/>
          <w:highlight w:val="white"/>
        </w:rPr>
        <w:t xml:space="preserve">осах регулирования земельных отношений на территории Новосибирской области»;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/>
          <w:sz w:val="28"/>
          <w:szCs w:val="28"/>
          <w:highlight w:val="white"/>
        </w:rPr>
        <w:t xml:space="preserve">абзац «и» подпункта 2 пункта 12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после слов «</w:t>
      </w: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государственных полномочий» дополнить словами «Новосибирской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абзац «а»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</w:t>
      </w:r>
      <w:r>
        <w:rPr>
          <w:rFonts w:ascii="Times New Roman" w:hAnsi="Times New Roman"/>
          <w:sz w:val="28"/>
          <w:szCs w:val="28"/>
          <w:highlight w:val="white"/>
        </w:rPr>
        <w:t xml:space="preserve">а 14 пункта 15 признать утратившим силу.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afterAutospacing="0" w:line="17" w:lineRule="atLeast"/>
        <w:shd w:val="clear" w:color="auto" w:fill="ffffff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Ю.Ф. Петухов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Новосибирской области                                               Т.Н. Деркач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  К.В. Хальзов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труда и социального развития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Е.В. Бахарева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pPr w:horzAnchor="margin" w:tblpXSpec="left" w:vertAnchor="text" w:tblpY="-127" w:leftFromText="180" w:topFromText="0" w:rightFromText="180" w:bottomFromText="200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руководителя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after="0" w:afterAutospacing="0" w:line="17" w:lineRule="atLeast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afterAutospacing="0" w:line="17" w:lineRule="atLeast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Н.К. Авдеева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031"/>
        <w:gridCol w:w="4891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Заместитель министра 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1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Т.А. Мальцева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</w:p>
        </w:tc>
      </w:tr>
    </w:tbl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031"/>
        <w:gridCol w:w="4891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0"/>
                <w:szCs w:val="20"/>
                <w:highlight w:val="white"/>
              </w:rPr>
              <w:t xml:space="preserve">Начальник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занятости населения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1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О.И. Лаврова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</w:r>
          </w:p>
        </w:tc>
      </w:tr>
    </w:tbl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031"/>
        <w:gridCol w:w="4891"/>
      </w:tblGrid>
      <w:tr>
        <w:tblPrEx/>
        <w:trPr>
          <w:trHeight w:val="7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0"/>
                <w:szCs w:val="20"/>
                <w:highlight w:val="white"/>
              </w:rPr>
              <w:t xml:space="preserve">Начальник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организационно-кадровой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1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Э.В. Юрищев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afterAutospacing="0" w:line="17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Начальник  правового управления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spacing w:after="0" w:afterAutospacing="0" w:line="17" w:lineRule="atLeast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М.М. Иванникова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238 75 02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0"/>
    <w:uiPriority w:val="34"/>
    <w:qFormat/>
    <w:pPr>
      <w:contextualSpacing/>
      <w:ind w:left="720"/>
    </w:pPr>
  </w:style>
  <w:style w:type="paragraph" w:styleId="729">
    <w:name w:val="No Spacing"/>
    <w:uiPriority w:val="1"/>
    <w:qFormat/>
  </w:style>
  <w:style w:type="paragraph" w:styleId="730">
    <w:name w:val="Title"/>
    <w:basedOn w:val="690"/>
    <w:next w:val="690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Заголовок Знак"/>
    <w:link w:val="730"/>
    <w:uiPriority w:val="10"/>
    <w:rPr>
      <w:sz w:val="48"/>
      <w:szCs w:val="48"/>
    </w:rPr>
  </w:style>
  <w:style w:type="paragraph" w:styleId="732">
    <w:name w:val="Subtitle"/>
    <w:basedOn w:val="690"/>
    <w:next w:val="690"/>
    <w:link w:val="733"/>
    <w:uiPriority w:val="11"/>
    <w:qFormat/>
    <w:pPr>
      <w:spacing w:before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0"/>
    <w:next w:val="690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0"/>
    <w:next w:val="690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0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Верхний колонтитул Знак"/>
    <w:link w:val="738"/>
    <w:uiPriority w:val="99"/>
  </w:style>
  <w:style w:type="paragraph" w:styleId="740">
    <w:name w:val="Footer"/>
    <w:basedOn w:val="690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0"/>
    <w:next w:val="690"/>
    <w:link w:val="74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1"/>
    <w:uiPriority w:val="59"/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/>
      <w:u w:val="single"/>
    </w:rPr>
  </w:style>
  <w:style w:type="paragraph" w:styleId="871">
    <w:name w:val="footnote text"/>
    <w:basedOn w:val="690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0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0"/>
    <w:next w:val="690"/>
    <w:uiPriority w:val="39"/>
    <w:unhideWhenUsed/>
    <w:pPr>
      <w:spacing w:after="57"/>
    </w:pPr>
  </w:style>
  <w:style w:type="paragraph" w:styleId="87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8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0"/>
    <w:next w:val="690"/>
    <w:uiPriority w:val="99"/>
    <w:unhideWhenUsed/>
    <w:pPr>
      <w:spacing w:after="0"/>
    </w:pPr>
  </w:style>
  <w:style w:type="paragraph" w:styleId="88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9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90">
    <w:name w:val="Body Text"/>
    <w:basedOn w:val="690"/>
    <w:link w:val="891"/>
    <w:unhideWhenUsed/>
    <w:pPr>
      <w:spacing w:after="120"/>
    </w:pPr>
    <w:rPr>
      <w:rFonts w:eastAsia="Times New Roman"/>
    </w:rPr>
  </w:style>
  <w:style w:type="character" w:styleId="891" w:customStyle="1">
    <w:name w:val="Основной текст Знак"/>
    <w:link w:val="890"/>
    <w:rPr>
      <w:rFonts w:ascii="Calibri" w:hAnsi="Calibri" w:eastAsia="Times New Roman" w:cs="Times New Roman"/>
    </w:rPr>
  </w:style>
  <w:style w:type="paragraph" w:styleId="892" w:customStyle="1">
    <w:name w:val="Верхний колонтитул;ВерхКолонтитул"/>
    <w:basedOn w:val="690"/>
    <w:link w:val="89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3" w:customStyle="1">
    <w:name w:val="Верхний колонтитул Знак;ВерхКолонтитул Знак"/>
    <w:link w:val="89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4">
    <w:name w:val="Balloon Text"/>
    <w:basedOn w:val="690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link w:val="89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6" w:customStyle="1">
    <w:name w:val="Нижний колонтитул Знак"/>
    <w:link w:val="740"/>
    <w:uiPriority w:val="99"/>
    <w:rPr>
      <w:sz w:val="22"/>
      <w:szCs w:val="22"/>
      <w:lang w:eastAsia="en-US"/>
    </w:rPr>
  </w:style>
  <w:style w:type="character" w:styleId="897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898">
    <w:name w:val="annotation text"/>
    <w:basedOn w:val="690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00"/>
    <w:link w:val="898"/>
    <w:uiPriority w:val="99"/>
    <w:semiHidden/>
    <w:rPr>
      <w:lang w:eastAsia="en-US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lang w:eastAsia="en-US"/>
    </w:rPr>
  </w:style>
  <w:style w:type="paragraph" w:styleId="90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2C1E-5ED6-4B13-90C9-F0101C96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14</cp:revision>
  <dcterms:created xsi:type="dcterms:W3CDTF">2024-12-12T05:19:00Z</dcterms:created>
  <dcterms:modified xsi:type="dcterms:W3CDTF">2025-03-18T09:27:02Z</dcterms:modified>
  <cp:version>917504</cp:version>
</cp:coreProperties>
</file>