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639"/>
        <w:jc w:val="center"/>
        <w:keepLines/>
        <w:keepNext/>
        <w:rPr>
          <w:rFonts w:eastAsiaTheme="majorEastAsia"/>
          <w:sz w:val="28"/>
          <w:szCs w:val="28"/>
        </w:rPr>
        <w:outlineLvl w:val="1"/>
      </w:pPr>
      <w:r>
        <w:rPr>
          <w:rFonts w:eastAsiaTheme="majorEastAsia"/>
          <w:bCs/>
          <w:sz w:val="28"/>
          <w:szCs w:val="28"/>
        </w:rPr>
        <w:t xml:space="preserve">УТВЕРЖДЕН</w:t>
      </w:r>
      <w:r>
        <w:rPr>
          <w:rFonts w:eastAsiaTheme="majorEastAsia"/>
          <w:sz w:val="28"/>
          <w:szCs w:val="28"/>
        </w:rPr>
      </w:r>
      <w:r>
        <w:rPr>
          <w:rFonts w:eastAsiaTheme="majorEastAsia"/>
          <w:sz w:val="28"/>
          <w:szCs w:val="28"/>
        </w:rPr>
      </w:r>
    </w:p>
    <w:p>
      <w:pPr>
        <w:ind w:left="9639"/>
        <w:jc w:val="center"/>
        <w:keepLines/>
        <w:keepNext/>
        <w:rPr>
          <w:rFonts w:eastAsiaTheme="majorEastAsia"/>
          <w:sz w:val="28"/>
          <w:szCs w:val="28"/>
        </w:rPr>
        <w:outlineLvl w:val="1"/>
      </w:pPr>
      <w:r>
        <w:rPr>
          <w:rFonts w:eastAsiaTheme="majorEastAsia"/>
          <w:bCs/>
          <w:sz w:val="28"/>
          <w:szCs w:val="28"/>
        </w:rPr>
        <w:t xml:space="preserve">постановлением Правительства </w:t>
      </w:r>
      <w:r>
        <w:rPr>
          <w:rFonts w:eastAsiaTheme="majorEastAsia"/>
          <w:bCs/>
          <w:sz w:val="28"/>
          <w:szCs w:val="28"/>
        </w:rPr>
        <w:t xml:space="preserve">Новосибирской области</w:t>
      </w:r>
      <w:r>
        <w:rPr>
          <w:rFonts w:eastAsiaTheme="majorEastAsia"/>
          <w:sz w:val="28"/>
          <w:szCs w:val="28"/>
        </w:rPr>
      </w:r>
      <w:r>
        <w:rPr>
          <w:rFonts w:eastAsiaTheme="majorEastAsia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ПЛАН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мероприятий («дорожная карта</w:t>
      </w:r>
      <w:r>
        <w:rPr>
          <w:b/>
          <w:sz w:val="28"/>
          <w:szCs w:val="28"/>
        </w:rPr>
        <w:t xml:space="preserve">»)</w:t>
      </w:r>
      <w:r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созданию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системы долговременного ухода за гражданами пожилого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возраста и инва</w:t>
      </w:r>
      <w:r>
        <w:rPr>
          <w:b/>
          <w:sz w:val="28"/>
          <w:szCs w:val="28"/>
        </w:rPr>
        <w:t xml:space="preserve">лидами, нуждающимися в уходе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Новосибирской области</w:t>
      </w:r>
      <w:r>
        <w:rPr>
          <w:b/>
          <w:sz w:val="28"/>
          <w:szCs w:val="28"/>
        </w:rPr>
        <w:t xml:space="preserve"> в 2025</w:t>
      </w:r>
      <w:r>
        <w:rPr>
          <w:b/>
          <w:sz w:val="28"/>
          <w:szCs w:val="28"/>
        </w:rPr>
        <w:t xml:space="preserve"> году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b w:val="0"/>
          <w:bCs w:val="0"/>
          <w:sz w:val="28"/>
          <w:szCs w:val="28"/>
        </w:rPr>
      </w:pPr>
      <w:r>
        <w:rPr>
          <w:b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tbl>
      <w:tblPr>
        <w:tblStyle w:val="910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2"/>
        <w:gridCol w:w="3402"/>
        <w:gridCol w:w="2274"/>
        <w:gridCol w:w="2800"/>
        <w:gridCol w:w="1308"/>
        <w:gridCol w:w="1417"/>
        <w:gridCol w:w="1982"/>
        <w:gridCol w:w="1388"/>
      </w:tblGrid>
      <w:tr>
        <w:trPr>
          <w:trHeight w:val="423"/>
        </w:trPr>
        <w:tc>
          <w:tcPr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№ п/п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Наименование мероприятия/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контрольные точки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Ответственный исполнитель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Ожидаемый результат/вид документа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72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Срок реализации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37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Финансирование мероприятий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450"/>
        </w:trPr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начало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окончание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источник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объем финанси-рования, тыс.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рублей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1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2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3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4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5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6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7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8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</w:tr>
      <w:tr>
        <w:trPr/>
        <w:tc>
          <w:tcPr>
            <w:gridSpan w:val="8"/>
            <w:tcW w:w="155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I. Организационные мероприятия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модели системы долговременного ухода, реализуемой в Новосибирской области</w:t>
            </w:r>
            <w:r>
              <w:rPr>
                <w:sz w:val="24"/>
                <w:szCs w:val="24"/>
              </w:rPr>
              <w:t xml:space="preserve"> в 2025</w:t>
            </w:r>
            <w:r>
              <w:rPr>
                <w:sz w:val="24"/>
                <w:szCs w:val="24"/>
              </w:rPr>
              <w:t xml:space="preserve"> году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постановление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Правительства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.02.202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textDirection w:val="lrTb"/>
            <w:noWrap w:val="false"/>
          </w:tcPr>
          <w:p>
            <w:pPr>
              <w:pStyle w:val="912"/>
              <w:ind w:left="0"/>
              <w:jc w:val="center"/>
              <w:widowControl/>
              <w:tabs>
                <w:tab w:val="left" w:pos="386" w:leader="none"/>
                <w:tab w:val="left" w:pos="51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территорий (муниципальных образований) для реализации модели системы долговременного ухода за гражданами пожилого возраста и инвалидами, нуждающимися в уходе </w:t>
            </w:r>
            <w:r>
              <w:rPr>
                <w:sz w:val="24"/>
                <w:szCs w:val="24"/>
              </w:rPr>
              <w:t xml:space="preserve">в 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постановление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Правительства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  <w:t xml:space="preserve">.02.202</w:t>
            </w: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межведомственной рабочей группы по созданию системы долговременного ухода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области, министерство </w:t>
            </w:r>
            <w:r>
              <w:rPr>
                <w:sz w:val="24"/>
                <w:szCs w:val="24"/>
              </w:rPr>
              <w:t xml:space="preserve">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ктуализация (в случае необходимости) распоряжения Правительства </w:t>
            </w:r>
            <w:r>
              <w:rPr>
                <w:sz w:val="24"/>
                <w:szCs w:val="24"/>
              </w:rPr>
              <w:t xml:space="preserve">Новосибирской области, протоколы заседаний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Внесение изменений в регламент</w:t>
            </w:r>
            <w:r>
              <w:rPr>
                <w:color w:val="000000" w:themeColor="text1"/>
                <w:sz w:val="24"/>
                <w:szCs w:val="24"/>
              </w:rPr>
              <w:t xml:space="preserve"> межведомственного взаимодействия, в том числе информационного взаимодействия, участников системы долговременного ухода в рамках создания системы долговременного ухода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(при необходимости)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области, министерство здравоохранения Новосибирской области</w:t>
            </w:r>
            <w:r>
              <w:rPr>
                <w:color w:val="000000" w:themeColor="text1"/>
                <w:sz w:val="24"/>
                <w:szCs w:val="24"/>
              </w:rPr>
              <w:t xml:space="preserve">, министерство цифрового развития и связи Новосибирской области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ктуализация (в случае необходимости) постановления Правительства </w:t>
            </w: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01.01.202</w:t>
            </w:r>
            <w:r>
              <w:rPr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31.12.202</w:t>
            </w:r>
            <w:r>
              <w:rPr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Создание и обеспечение ф</w:t>
            </w:r>
            <w:r>
              <w:rPr>
                <w:sz w:val="24"/>
                <w:szCs w:val="24"/>
              </w:rPr>
              <w:t xml:space="preserve">ункционирования модуля «СДУ» на </w:t>
            </w:r>
            <w:r>
              <w:rPr>
                <w:sz w:val="24"/>
                <w:szCs w:val="24"/>
              </w:rPr>
              <w:t xml:space="preserve">базе государственной инфо</w:t>
            </w:r>
            <w:r>
              <w:rPr>
                <w:sz w:val="24"/>
                <w:szCs w:val="24"/>
              </w:rPr>
              <w:t xml:space="preserve">рмационной системы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 (далее – ТИС СПГ) и единой системы межведомственного электронного взаимодействия (далее</w:t>
            </w:r>
            <w:r>
              <w:rPr>
                <w:sz w:val="24"/>
                <w:szCs w:val="24"/>
              </w:rPr>
              <w:t xml:space="preserve"> – </w:t>
            </w:r>
            <w:r>
              <w:rPr>
                <w:sz w:val="24"/>
                <w:szCs w:val="24"/>
              </w:rPr>
              <w:t xml:space="preserve">СМЭВ) в целях межведомственного взаимодействия участников системы долговременного ухода, в том числе информационного обмена сведениями о гражданах, нуждающихся в уходе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4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области, министерство здравоохранения Новосибирской области</w:t>
            </w:r>
            <w:r>
              <w:rPr>
                <w:color w:val="000000" w:themeColor="text1"/>
                <w:sz w:val="24"/>
                <w:szCs w:val="24"/>
              </w:rPr>
              <w:t xml:space="preserve">, министерство цифрового развития и связи Новосибирской области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00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веден в эксплуатацию и функционирует модуль «СДУ» на базе ТИС</w:t>
            </w:r>
            <w:r>
              <w:rPr>
                <w:sz w:val="24"/>
                <w:szCs w:val="24"/>
              </w:rPr>
              <w:br/>
              <w:t xml:space="preserve">СПГ и СМЭВ, обеспечивающий получение, хранение, передачу и обмен сведениями о гражданах, нуждающихся в уходе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01.01.202</w:t>
            </w:r>
            <w:r>
              <w:rPr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31.12.202</w:t>
            </w:r>
            <w:r>
              <w:rPr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33" w:leader="none"/>
                <w:tab w:val="left" w:pos="63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Утверждение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показателей эффективности пилотного проекта по созданию системы долговременного ухода за гражданами пожилого возраста и инвалидами, нуждающимися в уходе, реализуемого в рамках федерального проекта «Старшее поколение» национального проекта «Семья»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области, министерство 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0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постановление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Правительства Новосибирской области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color w:val="000000" w:themeColor="text1"/>
                <w:sz w:val="24"/>
                <w:szCs w:val="24"/>
              </w:rPr>
              <w:t xml:space="preserve">1.01</w:t>
            </w:r>
            <w:r>
              <w:rPr>
                <w:color w:val="000000" w:themeColor="text1"/>
                <w:sz w:val="24"/>
                <w:szCs w:val="24"/>
              </w:rPr>
              <w:t xml:space="preserve">.202</w:t>
            </w:r>
            <w:r>
              <w:rPr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28</w:t>
            </w:r>
            <w:r>
              <w:rPr>
                <w:color w:val="000000" w:themeColor="text1"/>
                <w:sz w:val="24"/>
                <w:szCs w:val="24"/>
              </w:rPr>
              <w:t xml:space="preserve">.0</w:t>
            </w:r>
            <w:r>
              <w:rPr>
                <w:color w:val="000000" w:themeColor="text1"/>
                <w:sz w:val="24"/>
                <w:szCs w:val="24"/>
              </w:rPr>
              <w:t xml:space="preserve">2.202</w:t>
            </w:r>
            <w:r>
              <w:rPr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Проведение </w:t>
            </w:r>
            <w:r>
              <w:rPr>
                <w:color w:val="000000" w:themeColor="text1"/>
                <w:sz w:val="24"/>
                <w:szCs w:val="24"/>
              </w:rPr>
              <w:t xml:space="preserve">оценки р</w:t>
            </w:r>
            <w:r>
              <w:rPr>
                <w:color w:val="000000" w:themeColor="text1"/>
                <w:sz w:val="24"/>
                <w:szCs w:val="24"/>
              </w:rPr>
              <w:t xml:space="preserve">езультативности и эффективности</w:t>
            </w:r>
            <w:r>
              <w:rPr>
                <w:color w:val="000000" w:themeColor="text1"/>
                <w:sz w:val="24"/>
                <w:szCs w:val="24"/>
              </w:rPr>
              <w:t xml:space="preserve"> создания системы долговременного ухода в Новосибирской области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 xml:space="preserve">за 202</w:t>
            </w:r>
            <w:r>
              <w:rPr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области, министерство 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01.03.2025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31.03.2025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312"/>
        </w:trPr>
        <w:tc>
          <w:tcPr>
            <w:tcW w:w="1022" w:type="dxa"/>
            <w:vAlign w:val="top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оценки численности получателей социальных услуг в форме социального обслуживания на дому, численности социальных работников в </w:t>
            </w: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  <w:t xml:space="preserve"> и объема финансового обеспечения предоставления социальных услуг в форме социального обслуживания на дому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501"/>
        </w:trPr>
        <w:tc>
          <w:tcPr>
            <w:tcW w:w="1022" w:type="dxa"/>
            <w:vAlign w:val="top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численность получателей социальных услуг в форме соци</w:t>
            </w:r>
            <w:r>
              <w:rPr>
                <w:sz w:val="24"/>
                <w:szCs w:val="24"/>
              </w:rPr>
              <w:t xml:space="preserve">ального обслуживания на дому в 2024 году –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17</w:t>
            </w:r>
            <w:r>
              <w:rPr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  <w:t xml:space="preserve">30</w:t>
            </w:r>
            <w:r>
              <w:rPr>
                <w:sz w:val="24"/>
                <w:szCs w:val="24"/>
                <w:highlight w:val="none"/>
              </w:rPr>
              <w:t xml:space="preserve">6 </w:t>
            </w:r>
            <w:r>
              <w:rPr>
                <w:sz w:val="24"/>
                <w:szCs w:val="24"/>
              </w:rPr>
              <w:t xml:space="preserve">человек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01.04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407"/>
        </w:trPr>
        <w:tc>
          <w:tcPr>
            <w:tcW w:w="1022" w:type="dxa"/>
            <w:vAlign w:val="top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социальных работников в Новосибирской области </w:t>
            </w:r>
            <w:r>
              <w:rPr>
                <w:sz w:val="24"/>
                <w:szCs w:val="24"/>
              </w:rPr>
              <w:t xml:space="preserve">в 2024 году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1 </w:t>
            </w: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none"/>
              </w:rPr>
              <w:t xml:space="preserve">46,2 </w:t>
            </w:r>
            <w:r>
              <w:rPr>
                <w:sz w:val="24"/>
                <w:szCs w:val="24"/>
              </w:rPr>
              <w:t xml:space="preserve">человек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01.04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988"/>
        </w:trPr>
        <w:tc>
          <w:tcPr>
            <w:tcW w:w="1022" w:type="dxa"/>
            <w:vAlign w:val="top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 (плановый) предоставления социальных услуг в форме социального обслуживания на дому в 2024 году</w:t>
            </w:r>
            <w:r>
              <w:rPr>
                <w:sz w:val="24"/>
                <w:szCs w:val="24"/>
              </w:rPr>
              <w:t xml:space="preserve"> –1 499 000 </w:t>
            </w:r>
            <w:r>
              <w:rPr>
                <w:sz w:val="24"/>
                <w:szCs w:val="24"/>
              </w:rPr>
              <w:t xml:space="preserve">тыс. рублей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01.04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Align w:val="top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Среднемесячная численность </w:t>
            </w:r>
            <w:r>
              <w:rPr>
                <w:sz w:val="24"/>
                <w:szCs w:val="24"/>
              </w:rPr>
              <w:t xml:space="preserve"> (ожидаемый прогноз)</w:t>
            </w:r>
            <w:r>
              <w:rPr>
                <w:sz w:val="24"/>
                <w:szCs w:val="24"/>
              </w:rPr>
              <w:t xml:space="preserve"> получателей социальных услуг в форме социального обслуживания на дому </w:t>
            </w:r>
            <w:r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  <w:highlight w:val="white"/>
              </w:rPr>
              <w:t xml:space="preserve">17 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  <w:t xml:space="preserve">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человек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Align w:val="top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Среднесписочная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численность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(ожидаемый прогноз)</w:t>
            </w:r>
            <w:r>
              <w:rPr>
                <w:sz w:val="24"/>
                <w:szCs w:val="24"/>
              </w:rPr>
              <w:t xml:space="preserve"> социальных работников в Новосибирской области </w:t>
            </w:r>
            <w:r>
              <w:rPr>
                <w:sz w:val="24"/>
                <w:szCs w:val="24"/>
              </w:rPr>
              <w:t xml:space="preserve">по состоянию на конец 2025 года</w:t>
            </w:r>
            <w:r>
              <w:rPr>
                <w:sz w:val="24"/>
                <w:szCs w:val="24"/>
              </w:rPr>
              <w:t xml:space="preserve"> – 1 546,2 </w:t>
            </w:r>
            <w:r>
              <w:rPr>
                <w:sz w:val="24"/>
                <w:szCs w:val="24"/>
              </w:rPr>
              <w:t xml:space="preserve">человек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Align w:val="top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Объем</w:t>
            </w:r>
            <w:r>
              <w:rPr>
                <w:sz w:val="24"/>
                <w:szCs w:val="24"/>
              </w:rPr>
              <w:t xml:space="preserve"> финансового </w:t>
            </w:r>
            <w:r>
              <w:rPr>
                <w:sz w:val="24"/>
                <w:szCs w:val="24"/>
              </w:rPr>
              <w:t xml:space="preserve">обеспечения </w:t>
            </w:r>
            <w:r>
              <w:rPr>
                <w:sz w:val="24"/>
                <w:szCs w:val="24"/>
              </w:rPr>
              <w:t xml:space="preserve">(ожидаемый прогноз)</w:t>
            </w:r>
            <w:r>
              <w:rPr>
                <w:sz w:val="24"/>
                <w:szCs w:val="24"/>
              </w:rPr>
              <w:t xml:space="preserve"> предоставления социальных услуг в форме социального обслуживания на дому в 2025 году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1 748 000</w:t>
            </w:r>
            <w:r>
              <w:rPr>
                <w:sz w:val="24"/>
                <w:szCs w:val="24"/>
                <w:highlight w:val="white"/>
              </w:rPr>
              <w:t xml:space="preserve"> тыс. рублей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gridSpan w:val="8"/>
            <w:tcW w:w="155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II. Организация работы регионального, территориальных координационных центров, поставщиков социальных услуг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регионального к</w:t>
            </w:r>
            <w:r>
              <w:rPr>
                <w:sz w:val="24"/>
                <w:szCs w:val="24"/>
              </w:rPr>
              <w:t xml:space="preserve">оординационного центра (далее – </w:t>
            </w:r>
            <w:r>
              <w:rPr>
                <w:sz w:val="24"/>
                <w:szCs w:val="24"/>
              </w:rPr>
              <w:t xml:space="preserve">РКЦ) на базе государственного автономного учреждения социального обслуживания Новосибирской области «Новосибирский областной ге</w:t>
            </w:r>
            <w:r>
              <w:rPr>
                <w:sz w:val="24"/>
                <w:szCs w:val="24"/>
              </w:rPr>
              <w:t xml:space="preserve">ронтологический центр» (далее – </w:t>
            </w:r>
            <w:r>
              <w:rPr>
                <w:sz w:val="24"/>
                <w:szCs w:val="24"/>
              </w:rPr>
              <w:t xml:space="preserve">геронтологический центр)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РКЦ функционирует на </w:t>
            </w:r>
            <w:r>
              <w:rPr>
                <w:sz w:val="24"/>
                <w:szCs w:val="24"/>
              </w:rPr>
              <w:t xml:space="preserve">базе геронтологического центра, </w:t>
            </w:r>
            <w:r>
              <w:rPr>
                <w:rFonts w:eastAsia="Times New Roman"/>
                <w:sz w:val="24"/>
                <w:szCs w:val="24"/>
              </w:rPr>
              <w:t xml:space="preserve">630047, Новосибирская область, г. Новосибирск, ул. Северная, д. 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</w:t>
            </w:r>
            <w:r>
              <w:rPr>
                <w:sz w:val="24"/>
                <w:szCs w:val="24"/>
              </w:rPr>
              <w:t xml:space="preserve">специалистов</w:t>
            </w:r>
            <w:r>
              <w:rPr>
                <w:sz w:val="24"/>
                <w:szCs w:val="24"/>
              </w:rPr>
              <w:t xml:space="preserve"> в РКЦ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штатном расписании РКЦ, являющегося структурным подразделением геронтологического центра, 2 штатные единицы специалистов по социальной работе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1 штатная единица руководителя РКЦ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Функционирование территориальных координационных центров (далее – ТКЦ) на базе администраций муниципальных образований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 </w:t>
            </w:r>
            <w:r>
              <w:rPr>
                <w:sz w:val="24"/>
                <w:szCs w:val="24"/>
              </w:rPr>
              <w:t xml:space="preserve">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ф</w:t>
            </w:r>
            <w:r>
              <w:rPr>
                <w:sz w:val="24"/>
                <w:szCs w:val="24"/>
              </w:rPr>
              <w:t xml:space="preserve">ункционируют 41 ТКЦ на базе администраций муниципальных образований Новосибирской области (</w:t>
            </w:r>
            <w:r>
              <w:rPr>
                <w:sz w:val="24"/>
                <w:szCs w:val="24"/>
              </w:rPr>
              <w:t xml:space="preserve">приложение № 1 к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Плану мероприятий («дорожной карте») по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созданию системы долговременного ухода за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гражданами пожилого возраста и инвалидами, нуждающимися в уходе, в Новосибирской области в 2025 году (далее – План мероприятий «дорожная карта»)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специалистов по социальной работе (экспертов по оценке нуждаемости) в ТКЦ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 </w:t>
            </w:r>
            <w:r>
              <w:rPr>
                <w:sz w:val="24"/>
                <w:szCs w:val="24"/>
              </w:rPr>
              <w:t xml:space="preserve">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в составе ТКЦ </w:t>
            </w:r>
            <w:r>
              <w:rPr>
                <w:sz w:val="24"/>
                <w:szCs w:val="24"/>
                <w:highlight w:val="none"/>
              </w:rPr>
              <w:t xml:space="preserve">148</w:t>
            </w:r>
            <w:r>
              <w:rPr>
                <w:sz w:val="24"/>
                <w:szCs w:val="24"/>
              </w:rPr>
              <w:t xml:space="preserve"> специалистов по </w:t>
            </w:r>
            <w:r>
              <w:rPr>
                <w:sz w:val="24"/>
                <w:szCs w:val="24"/>
              </w:rPr>
              <w:t xml:space="preserve">социальной работе (экспертов по оценке нуждаемости)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пунктов проката технических средств реабилитации (далее – ТСР) на базе организаций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</w:t>
            </w:r>
            <w:r>
              <w:rPr>
                <w:sz w:val="24"/>
                <w:szCs w:val="24"/>
              </w:rPr>
              <w:t xml:space="preserve">кой области 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</w:t>
            </w:r>
            <w:r>
              <w:rPr>
                <w:sz w:val="24"/>
                <w:szCs w:val="24"/>
              </w:rPr>
              <w:t xml:space="preserve">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Перечень организаций со</w:t>
            </w:r>
            <w:r>
              <w:rPr>
                <w:sz w:val="24"/>
                <w:szCs w:val="24"/>
              </w:rPr>
              <w:t xml:space="preserve">циального обслуживания, на базе</w:t>
            </w:r>
            <w:r>
              <w:rPr>
                <w:sz w:val="24"/>
                <w:szCs w:val="24"/>
              </w:rPr>
              <w:t xml:space="preserve"> которых функционируют пункты проката ТСР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(приложение № 2 </w:t>
            </w:r>
            <w:r>
              <w:rPr>
                <w:sz w:val="24"/>
                <w:szCs w:val="24"/>
              </w:rPr>
              <w:t xml:space="preserve">к </w:t>
            </w:r>
            <w:r>
              <w:rPr>
                <w:sz w:val="24"/>
                <w:szCs w:val="24"/>
              </w:rPr>
              <w:t xml:space="preserve">Плану мероприятий («дорожной карте»)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«школ ухода» на базе организаций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</w:t>
            </w:r>
            <w:r>
              <w:rPr>
                <w:sz w:val="24"/>
                <w:szCs w:val="24"/>
              </w:rPr>
              <w:t xml:space="preserve">кой области 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</w:t>
            </w:r>
            <w:r>
              <w:rPr>
                <w:sz w:val="24"/>
                <w:szCs w:val="24"/>
              </w:rPr>
              <w:t xml:space="preserve">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организаций социального обслуживания, на базе которых функционируют «школы ухода» </w:t>
            </w:r>
            <w:r>
              <w:rPr>
                <w:sz w:val="24"/>
                <w:szCs w:val="24"/>
              </w:rPr>
              <w:t xml:space="preserve">(приложение № 3 к </w:t>
            </w:r>
            <w:r>
              <w:rPr>
                <w:sz w:val="24"/>
                <w:szCs w:val="24"/>
              </w:rPr>
              <w:t xml:space="preserve">Плану мероприятий («дорожной карте»)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8"/>
            <w:tcW w:w="155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III. Мероприятия по подготовке и дополнительному профессиональному</w:t>
            </w:r>
            <w:r>
              <w:rPr>
                <w:b w:val="0"/>
                <w:bCs w:val="0"/>
                <w:sz w:val="24"/>
                <w:szCs w:val="24"/>
              </w:rPr>
              <w:br/>
              <w:t xml:space="preserve">обучению сотрудников организаций социального обслуживанию в рамках пилотного проекта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потребности в экспертах по оценке нуждаемости</w:t>
            </w:r>
            <w:r>
              <w:rPr>
                <w:sz w:val="24"/>
                <w:szCs w:val="24"/>
              </w:rPr>
              <w:t xml:space="preserve">, организаторов ухода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работников РКЦ и ТКЦ (</w:t>
            </w:r>
            <w:r>
              <w:rPr>
                <w:sz w:val="24"/>
                <w:szCs w:val="24"/>
              </w:rPr>
              <w:t xml:space="preserve">специалистов по социальной работе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  <w:t xml:space="preserve">, а также поиск кандидатов на данные должности (постоянно)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</w:t>
            </w:r>
            <w:r>
              <w:rPr>
                <w:sz w:val="24"/>
                <w:szCs w:val="24"/>
              </w:rPr>
              <w:t xml:space="preserve">кой области </w:t>
            </w:r>
            <w:r>
              <w:rPr>
                <w:sz w:val="24"/>
                <w:szCs w:val="24"/>
              </w:rPr>
              <w:t xml:space="preserve">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 </w:t>
            </w:r>
            <w:r>
              <w:rPr>
                <w:sz w:val="24"/>
                <w:szCs w:val="24"/>
              </w:rPr>
              <w:t xml:space="preserve">ведении которых </w:t>
            </w:r>
            <w:r>
              <w:rPr>
                <w:sz w:val="24"/>
                <w:szCs w:val="24"/>
              </w:rPr>
              <w:t xml:space="preserve">находятся комплексные центры социального обслуживания, геронтологический центр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подобраны эксперты по оценке нуждаемости</w:t>
            </w:r>
            <w:r>
              <w:rPr>
                <w:sz w:val="24"/>
                <w:szCs w:val="24"/>
              </w:rPr>
              <w:t xml:space="preserve">, организаторы ухода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работники РКЦ и ТКЦ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1.01.2025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потребности в помощниках по уходу, а также поиск кандидатов на данные должности (постоянно)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</w:t>
            </w:r>
            <w:r>
              <w:rPr>
                <w:sz w:val="24"/>
                <w:szCs w:val="24"/>
              </w:rPr>
              <w:t xml:space="preserve">кой области во взаимодействии с о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га</w:t>
            </w:r>
            <w:r>
              <w:rPr>
                <w:sz w:val="24"/>
                <w:szCs w:val="24"/>
              </w:rPr>
              <w:t xml:space="preserve">нами местного само</w:t>
            </w:r>
            <w:r>
              <w:rPr>
                <w:sz w:val="24"/>
                <w:szCs w:val="24"/>
              </w:rPr>
              <w:t xml:space="preserve">управления, в </w:t>
            </w:r>
            <w:r>
              <w:rPr>
                <w:sz w:val="24"/>
                <w:szCs w:val="24"/>
              </w:rPr>
              <w:t xml:space="preserve">ведении которых находятся ком</w:t>
            </w:r>
            <w:r>
              <w:rPr>
                <w:sz w:val="24"/>
                <w:szCs w:val="24"/>
              </w:rPr>
              <w:t xml:space="preserve">плексные центры соци</w:t>
            </w:r>
            <w:r>
              <w:rPr>
                <w:sz w:val="24"/>
                <w:szCs w:val="24"/>
              </w:rPr>
              <w:t xml:space="preserve">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подобраны помощники по уходу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lef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обучения экспертов по оценке нуждаемости по программе «Экспертная деятельность по определению индивидуальной потребности граждан в социальном обслуживании, в том числе в социальных услугах по уходу»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</w:t>
            </w:r>
            <w:r>
              <w:rPr>
                <w:sz w:val="24"/>
                <w:szCs w:val="24"/>
              </w:rPr>
              <w:t xml:space="preserve">кой области 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 </w:t>
            </w:r>
            <w:r>
              <w:rPr>
                <w:sz w:val="24"/>
                <w:szCs w:val="24"/>
              </w:rPr>
              <w:t xml:space="preserve">веде</w:t>
            </w:r>
            <w:r>
              <w:rPr>
                <w:sz w:val="24"/>
                <w:szCs w:val="24"/>
              </w:rPr>
              <w:t xml:space="preserve">нии которых находятся комплексные центры социального обслужи</w:t>
            </w:r>
            <w:r>
              <w:rPr>
                <w:sz w:val="24"/>
                <w:szCs w:val="24"/>
              </w:rPr>
              <w:t xml:space="preserve">вания, </w:t>
            </w:r>
            <w:r>
              <w:rPr>
                <w:sz w:val="24"/>
                <w:szCs w:val="24"/>
              </w:rPr>
              <w:t xml:space="preserve">геронтологический центр</w:t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рганизовано обучение не менее </w:t>
            </w:r>
            <w:r>
              <w:rPr>
                <w:sz w:val="24"/>
                <w:szCs w:val="24"/>
                <w:highlight w:val="white"/>
              </w:rPr>
              <w:t xml:space="preserve">50</w:t>
            </w:r>
            <w:r>
              <w:rPr>
                <w:sz w:val="24"/>
                <w:szCs w:val="24"/>
              </w:rPr>
              <w:t xml:space="preserve"> работников регионального координационного центра и территориальных координационных центров по профессиональной программе обучения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lef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обучения работников организаций социального обслуживания, участвующих в организации и предоставлении социальных услуг по уходу (помощники по уходу) по профессиональной программе «Помощник по уходу»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</w:t>
            </w:r>
            <w:r>
              <w:rPr>
                <w:sz w:val="24"/>
                <w:szCs w:val="24"/>
              </w:rPr>
              <w:t xml:space="preserve">кой области 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обучение не менее 50 помощников по уходу поставщиков социальных услуг по профессиональной программе обучения п</w:t>
            </w:r>
            <w:r>
              <w:rPr>
                <w:sz w:val="24"/>
                <w:szCs w:val="24"/>
              </w:rPr>
              <w:t xml:space="preserve">о должности «Помощник по уходу»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собственные средства организаций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lef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организация обучения работников, участвующих в организации оказания социальных услуг по уходу (организаторы ухода) по профессиональной программе «Организатор ухода»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</w:t>
            </w:r>
            <w:r>
              <w:rPr>
                <w:sz w:val="24"/>
                <w:szCs w:val="24"/>
              </w:rPr>
              <w:t xml:space="preserve">кой области 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обучение не менее 10 организаторов ухода поставщиков социальных услуг по профессиональной программе обучения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собственные средства организаций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8"/>
            <w:tcW w:w="1559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IV. Организация предоставления социальных услуг по уходу</w:t>
            </w:r>
            <w:r>
              <w:rPr>
                <w:b/>
                <w:sz w:val="24"/>
                <w:szCs w:val="24"/>
              </w:rPr>
              <w:t xml:space="preserve"> в рамках системы долговременного ухода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поставщиками социальных услуг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в Новосибирской области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функционирования организаций социального обслуживания – </w:t>
            </w:r>
            <w:r>
              <w:rPr>
                <w:sz w:val="24"/>
                <w:szCs w:val="24"/>
              </w:rPr>
              <w:t xml:space="preserve">муниципальных </w:t>
            </w:r>
            <w:r>
              <w:rPr>
                <w:sz w:val="24"/>
                <w:szCs w:val="24"/>
              </w:rPr>
              <w:t xml:space="preserve">поставщиков </w:t>
            </w:r>
            <w:r>
              <w:rPr>
                <w:sz w:val="24"/>
                <w:szCs w:val="24"/>
              </w:rPr>
              <w:t xml:space="preserve">социальных услуг</w:t>
            </w:r>
            <w:r>
              <w:rPr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предоставляющих социальные</w:t>
            </w:r>
            <w:r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по уходу</w:t>
            </w:r>
            <w:r>
              <w:rPr>
                <w:sz w:val="24"/>
                <w:szCs w:val="24"/>
              </w:rPr>
              <w:t xml:space="preserve"> на дому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</w:t>
            </w:r>
            <w:r>
              <w:rPr>
                <w:sz w:val="24"/>
                <w:szCs w:val="24"/>
              </w:rPr>
              <w:t xml:space="preserve">кой области 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еречень</w:t>
            </w:r>
            <w:r>
              <w:rPr>
                <w:sz w:val="24"/>
                <w:szCs w:val="24"/>
              </w:rPr>
              <w:t xml:space="preserve"> муниципальных поставщиков социаль</w:t>
            </w:r>
            <w:r>
              <w:rPr>
                <w:sz w:val="24"/>
                <w:szCs w:val="24"/>
              </w:rPr>
              <w:t xml:space="preserve">ных услуг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уходу, включенных в социальный пакет долговременного ухода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(приложение № 4 к Плану мероприятий («дорожной карте»)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организаторов ухода в организациях социального обслуживания – поставщиках социальных услуг</w:t>
            </w:r>
            <w:r>
              <w:rPr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предоставляющих социальные услуги по уходу на дому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</w:t>
            </w:r>
            <w:r>
              <w:rPr>
                <w:sz w:val="24"/>
                <w:szCs w:val="24"/>
              </w:rPr>
              <w:t xml:space="preserve">кой области 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еречень </w:t>
            </w:r>
            <w:r>
              <w:rPr>
                <w:sz w:val="24"/>
                <w:szCs w:val="24"/>
              </w:rPr>
              <w:t xml:space="preserve">муниципальных поставщиков социаль</w:t>
            </w:r>
            <w:r>
              <w:rPr>
                <w:sz w:val="24"/>
                <w:szCs w:val="24"/>
              </w:rPr>
              <w:t xml:space="preserve">ных услуг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уходу, включенных в социаль</w:t>
            </w:r>
            <w:r>
              <w:rPr>
                <w:sz w:val="24"/>
                <w:szCs w:val="24"/>
              </w:rPr>
              <w:t xml:space="preserve">ный пакет долговремен</w:t>
            </w:r>
            <w:r>
              <w:rPr>
                <w:sz w:val="24"/>
                <w:szCs w:val="24"/>
              </w:rPr>
              <w:t xml:space="preserve">ного ухода (приложение № 4 к Плану мероприя</w:t>
            </w:r>
            <w:r>
              <w:rPr>
                <w:sz w:val="24"/>
                <w:szCs w:val="24"/>
              </w:rPr>
              <w:t xml:space="preserve">тий («дорожной карте») с указанием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количества штатных единиц организаторо</w:t>
            </w:r>
            <w:r>
              <w:rPr>
                <w:sz w:val="24"/>
                <w:szCs w:val="24"/>
              </w:rPr>
              <w:t xml:space="preserve">в ухода (всего и с разбивкой по </w:t>
            </w:r>
            <w:r>
              <w:rPr>
                <w:sz w:val="24"/>
                <w:szCs w:val="24"/>
              </w:rPr>
              <w:t xml:space="preserve">организациям)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помощников по уходу в организациях социального обслуживания – поставщиках социальных услуг</w:t>
            </w:r>
            <w:r>
              <w:rPr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предоставляющих социальные услуги по уходу на дому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</w:t>
            </w:r>
            <w:r>
              <w:rPr>
                <w:sz w:val="24"/>
                <w:szCs w:val="24"/>
              </w:rPr>
              <w:t xml:space="preserve">кой области 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Трудоустроено в организации социального обслуживания не менее 500 помощников по уходу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</w:t>
            </w:r>
            <w:r>
              <w:rPr>
                <w:sz w:val="24"/>
                <w:szCs w:val="24"/>
              </w:rPr>
              <w:t xml:space="preserve">по уходу </w:t>
            </w:r>
            <w:r>
              <w:rPr>
                <w:sz w:val="24"/>
                <w:szCs w:val="24"/>
              </w:rPr>
              <w:t xml:space="preserve">в рамках системы долговременного ухода в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 </w:t>
            </w:r>
            <w:r>
              <w:rPr>
                <w:sz w:val="24"/>
                <w:szCs w:val="24"/>
              </w:rPr>
              <w:t xml:space="preserve">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находятся комплексные центры социального обслуживания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государственные стационарные учреждения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граждан старше трудоспособного возраста и инвалидов, получающих социальные услуги в рамках системы долговременного ухода, </w:t>
            </w:r>
            <w:r>
              <w:rPr>
                <w:sz w:val="24"/>
                <w:szCs w:val="24"/>
              </w:rPr>
              <w:t xml:space="preserve">2 633 человека,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  <w:t xml:space="preserve"> человек - 1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1 355</w:t>
            </w:r>
            <w:r>
              <w:rPr>
                <w:sz w:val="24"/>
                <w:szCs w:val="24"/>
                <w:highlight w:val="white"/>
              </w:rPr>
              <w:t xml:space="preserve"> человек – 2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 xml:space="preserve">1 272 </w:t>
            </w:r>
            <w:r>
              <w:rPr>
                <w:sz w:val="24"/>
                <w:szCs w:val="24"/>
                <w:highlight w:val="white"/>
              </w:rPr>
              <w:t xml:space="preserve">человека – 3 уровня нуждаемости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406 692,00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390 419,50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  <w:br/>
            </w:r>
            <w:r>
              <w:rPr>
                <w:sz w:val="24"/>
                <w:szCs w:val="24"/>
              </w:rPr>
              <w:t xml:space="preserve">(в рамках </w:t>
            </w:r>
            <w:r>
              <w:rPr>
                <w:sz w:val="24"/>
                <w:szCs w:val="24"/>
              </w:rPr>
              <w:t xml:space="preserve">софинансирова-ния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16 272,50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</w:t>
            </w:r>
            <w:r>
              <w:rPr>
                <w:sz w:val="24"/>
                <w:szCs w:val="24"/>
              </w:rPr>
              <w:t xml:space="preserve">муниципальными поставщиками социальных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 </w:t>
            </w:r>
            <w:r>
              <w:rPr>
                <w:sz w:val="24"/>
                <w:szCs w:val="24"/>
              </w:rPr>
              <w:t xml:space="preserve">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 </w:t>
            </w:r>
            <w:r>
              <w:rPr>
                <w:sz w:val="24"/>
                <w:szCs w:val="24"/>
                <w:highlight w:val="none"/>
              </w:rPr>
              <w:t xml:space="preserve">62</w:t>
            </w:r>
            <w:r>
              <w:rPr>
                <w:sz w:val="24"/>
                <w:szCs w:val="24"/>
                <w:highlight w:val="white"/>
              </w:rPr>
              <w:t xml:space="preserve"> человека, из них: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  <w:t xml:space="preserve"> человек - 1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32</w:t>
            </w:r>
            <w:r>
              <w:rPr>
                <w:sz w:val="24"/>
                <w:szCs w:val="24"/>
                <w:highlight w:val="white"/>
              </w:rPr>
              <w:t xml:space="preserve"> человека – 2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24</w:t>
            </w:r>
            <w:r>
              <w:rPr>
                <w:sz w:val="24"/>
                <w:szCs w:val="24"/>
                <w:highlight w:val="white"/>
              </w:rPr>
              <w:t xml:space="preserve"> человека – 3 уровня нуждаемости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3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32 037,35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30 755,86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(в рамках </w:t>
            </w:r>
            <w:r>
              <w:rPr>
                <w:sz w:val="24"/>
                <w:szCs w:val="24"/>
              </w:rPr>
              <w:t xml:space="preserve">софинансирова-ния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1 281,49</w:t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</w:t>
            </w:r>
            <w:r>
              <w:rPr>
                <w:sz w:val="24"/>
                <w:szCs w:val="24"/>
              </w:rPr>
              <w:t xml:space="preserve">включаемых в социальный пакет долговременного ухода, бесплатно в форме социального обс</w:t>
            </w:r>
            <w:r>
              <w:rPr>
                <w:sz w:val="24"/>
                <w:szCs w:val="24"/>
              </w:rPr>
              <w:t xml:space="preserve">луживания на дому, в январе 2025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 </w:t>
            </w:r>
            <w:r>
              <w:rPr>
                <w:sz w:val="24"/>
                <w:szCs w:val="24"/>
              </w:rPr>
              <w:t xml:space="preserve">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</w:t>
            </w:r>
            <w:r>
              <w:rPr>
                <w:sz w:val="24"/>
                <w:szCs w:val="24"/>
              </w:rPr>
              <w:t xml:space="preserve">уходу, входящих в социальный пакет долговременного ухода бесплатно в форме социального обслуживания на дому, </w:t>
            </w:r>
            <w:r>
              <w:rPr>
                <w:sz w:val="24"/>
                <w:szCs w:val="24"/>
                <w:highlight w:val="none"/>
              </w:rPr>
              <w:t xml:space="preserve">62</w:t>
            </w:r>
            <w:r>
              <w:rPr>
                <w:sz w:val="24"/>
                <w:szCs w:val="24"/>
                <w:highlight w:val="white"/>
              </w:rPr>
              <w:t xml:space="preserve"> человека, из них: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  <w:t xml:space="preserve"> человек - 1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32</w:t>
            </w:r>
            <w:r>
              <w:rPr>
                <w:sz w:val="24"/>
                <w:szCs w:val="24"/>
                <w:highlight w:val="white"/>
              </w:rPr>
              <w:t xml:space="preserve"> человека – 2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24</w:t>
            </w:r>
            <w:r>
              <w:rPr>
                <w:sz w:val="24"/>
                <w:szCs w:val="24"/>
                <w:highlight w:val="white"/>
              </w:rPr>
              <w:t xml:space="preserve"> человека – 3 уровня нуждаемости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3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31.01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2 709,33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2 600,95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71"/>
        </w:trPr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(в рамках </w:t>
            </w:r>
            <w:r>
              <w:rPr>
                <w:sz w:val="24"/>
                <w:szCs w:val="24"/>
              </w:rPr>
              <w:t xml:space="preserve">софинансирова-ния</w:t>
            </w:r>
            <w:r>
              <w:rPr>
                <w:sz w:val="24"/>
                <w:szCs w:val="24"/>
              </w:rPr>
              <w:t xml:space="preserve">)</w:t>
            </w:r>
            <w:r/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108,37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23.1.2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</w:t>
            </w:r>
            <w:r>
              <w:rPr>
                <w:sz w:val="24"/>
                <w:szCs w:val="24"/>
              </w:rPr>
              <w:t xml:space="preserve">уживания на дому, в феврале 2025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 </w:t>
            </w:r>
            <w:r>
              <w:rPr>
                <w:sz w:val="24"/>
                <w:szCs w:val="24"/>
              </w:rPr>
              <w:t xml:space="preserve">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 </w:t>
            </w:r>
            <w:r>
              <w:rPr>
                <w:sz w:val="24"/>
                <w:szCs w:val="24"/>
                <w:highlight w:val="none"/>
              </w:rPr>
              <w:t xml:space="preserve">62</w:t>
            </w:r>
            <w:r>
              <w:rPr>
                <w:sz w:val="24"/>
                <w:szCs w:val="24"/>
                <w:highlight w:val="white"/>
              </w:rPr>
              <w:t xml:space="preserve"> человека, из них: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  <w:t xml:space="preserve"> человек - 1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32</w:t>
            </w:r>
            <w:r>
              <w:rPr>
                <w:sz w:val="24"/>
                <w:szCs w:val="24"/>
                <w:highlight w:val="white"/>
              </w:rPr>
              <w:t xml:space="preserve"> человека – 2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24</w:t>
            </w:r>
            <w:r>
              <w:rPr>
                <w:sz w:val="24"/>
                <w:szCs w:val="24"/>
                <w:highlight w:val="white"/>
              </w:rPr>
              <w:t xml:space="preserve"> человека – 3 уровня нуждаемости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3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01.02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</w:t>
            </w:r>
            <w:r>
              <w:rPr>
                <w:sz w:val="24"/>
                <w:szCs w:val="24"/>
              </w:rPr>
              <w:t xml:space="preserve">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2 463,02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2 364,50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(в рамках </w:t>
            </w:r>
            <w:r>
              <w:rPr>
                <w:sz w:val="24"/>
                <w:szCs w:val="24"/>
              </w:rPr>
              <w:t xml:space="preserve">софинансирова-ния</w:t>
            </w:r>
            <w:r>
              <w:rPr>
                <w:sz w:val="24"/>
                <w:szCs w:val="24"/>
              </w:rPr>
              <w:t xml:space="preserve">)</w:t>
            </w:r>
            <w:r/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98,52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23.1.3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</w:t>
            </w:r>
            <w:r>
              <w:rPr>
                <w:sz w:val="24"/>
                <w:szCs w:val="24"/>
              </w:rPr>
              <w:t xml:space="preserve">бесплатно в форме социального об</w:t>
            </w:r>
            <w:r>
              <w:rPr>
                <w:sz w:val="24"/>
                <w:szCs w:val="24"/>
              </w:rPr>
              <w:t xml:space="preserve">служивания на дому, в марте 2025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 </w:t>
            </w:r>
            <w:r>
              <w:rPr>
                <w:sz w:val="24"/>
                <w:szCs w:val="24"/>
              </w:rPr>
              <w:t xml:space="preserve">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уходу, входящих в социальный пакет </w:t>
            </w:r>
            <w:r>
              <w:rPr>
                <w:sz w:val="24"/>
                <w:szCs w:val="24"/>
              </w:rPr>
              <w:t xml:space="preserve">долговременного ухода бесплатно в форме социального обслуживания на дому, </w:t>
            </w:r>
            <w:r>
              <w:rPr>
                <w:sz w:val="24"/>
                <w:szCs w:val="24"/>
                <w:highlight w:val="none"/>
              </w:rPr>
              <w:t xml:space="preserve">62</w:t>
            </w:r>
            <w:r>
              <w:rPr>
                <w:sz w:val="24"/>
                <w:szCs w:val="24"/>
                <w:highlight w:val="white"/>
              </w:rPr>
              <w:t xml:space="preserve"> человека, из них: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  <w:t xml:space="preserve"> человек - 1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32</w:t>
            </w:r>
            <w:r>
              <w:rPr>
                <w:sz w:val="24"/>
                <w:szCs w:val="24"/>
                <w:highlight w:val="white"/>
              </w:rPr>
              <w:t xml:space="preserve"> человека – 2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24</w:t>
            </w:r>
            <w:r>
              <w:rPr>
                <w:sz w:val="24"/>
                <w:szCs w:val="24"/>
                <w:highlight w:val="white"/>
              </w:rPr>
              <w:t xml:space="preserve"> человека – 3 уровня нуждаемости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3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01.03.2025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31.03.2025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2 709,33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2 600,95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(в рамках </w:t>
            </w:r>
            <w:r>
              <w:rPr>
                <w:sz w:val="24"/>
                <w:szCs w:val="24"/>
              </w:rPr>
              <w:t xml:space="preserve">софинансирова-ния</w:t>
            </w:r>
            <w:r>
              <w:rPr>
                <w:sz w:val="24"/>
                <w:szCs w:val="24"/>
              </w:rPr>
              <w:t xml:space="preserve">)</w:t>
            </w:r>
            <w:r/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108,37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23.1.4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</w:t>
            </w:r>
            <w:r>
              <w:rPr>
                <w:sz w:val="24"/>
                <w:szCs w:val="24"/>
              </w:rPr>
              <w:t xml:space="preserve">луживания на дому, в апреле 2025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 </w:t>
            </w:r>
            <w:r>
              <w:rPr>
                <w:sz w:val="24"/>
                <w:szCs w:val="24"/>
              </w:rPr>
              <w:t xml:space="preserve">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 </w:t>
            </w:r>
            <w:r>
              <w:rPr>
                <w:sz w:val="24"/>
                <w:szCs w:val="24"/>
                <w:highlight w:val="none"/>
              </w:rPr>
              <w:t xml:space="preserve">62</w:t>
            </w:r>
            <w:r>
              <w:rPr>
                <w:sz w:val="24"/>
                <w:szCs w:val="24"/>
                <w:highlight w:val="white"/>
              </w:rPr>
              <w:t xml:space="preserve"> человека, из них: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  <w:t xml:space="preserve"> человек - 1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32</w:t>
            </w:r>
            <w:r>
              <w:rPr>
                <w:sz w:val="24"/>
                <w:szCs w:val="24"/>
                <w:highlight w:val="white"/>
              </w:rPr>
              <w:t xml:space="preserve"> человека – 2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24</w:t>
            </w:r>
            <w:r>
              <w:rPr>
                <w:sz w:val="24"/>
                <w:szCs w:val="24"/>
                <w:highlight w:val="white"/>
              </w:rPr>
              <w:t xml:space="preserve"> человека – 3 уровня нуждаемости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3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01.04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30.04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2 647,75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2 541,84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(в рамках </w:t>
            </w:r>
            <w:r>
              <w:rPr>
                <w:sz w:val="24"/>
                <w:szCs w:val="24"/>
              </w:rPr>
              <w:t xml:space="preserve">софинансирова-ния</w:t>
            </w:r>
            <w:r>
              <w:rPr>
                <w:sz w:val="24"/>
                <w:szCs w:val="24"/>
              </w:rPr>
              <w:t xml:space="preserve">)</w:t>
            </w:r>
            <w:r/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105,91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23.1.5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</w:t>
            </w:r>
            <w:r>
              <w:rPr>
                <w:sz w:val="24"/>
                <w:szCs w:val="24"/>
              </w:rPr>
              <w:t xml:space="preserve">обслуживания на </w:t>
            </w:r>
            <w:r>
              <w:rPr>
                <w:sz w:val="24"/>
                <w:szCs w:val="24"/>
              </w:rPr>
              <w:t xml:space="preserve">дому, в мае 2025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 </w:t>
            </w:r>
            <w:r>
              <w:rPr>
                <w:sz w:val="24"/>
                <w:szCs w:val="24"/>
              </w:rPr>
              <w:t xml:space="preserve">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уходу, входящих в социальный пакет долговременного ухода бесплатно в форме </w:t>
            </w:r>
            <w:r>
              <w:rPr>
                <w:sz w:val="24"/>
                <w:szCs w:val="24"/>
              </w:rPr>
              <w:t xml:space="preserve">социального обслуживания на дому, </w:t>
            </w:r>
            <w:r>
              <w:rPr>
                <w:sz w:val="24"/>
                <w:szCs w:val="24"/>
                <w:highlight w:val="none"/>
              </w:rPr>
              <w:t xml:space="preserve">62</w:t>
            </w:r>
            <w:r>
              <w:rPr>
                <w:sz w:val="24"/>
                <w:szCs w:val="24"/>
                <w:highlight w:val="white"/>
              </w:rPr>
              <w:t xml:space="preserve"> человека, из них: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  <w:t xml:space="preserve"> человек - 1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32</w:t>
            </w:r>
            <w:r>
              <w:rPr>
                <w:sz w:val="24"/>
                <w:szCs w:val="24"/>
                <w:highlight w:val="white"/>
              </w:rPr>
              <w:t xml:space="preserve"> человека – 2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24</w:t>
            </w:r>
            <w:r>
              <w:rPr>
                <w:sz w:val="24"/>
                <w:szCs w:val="24"/>
                <w:highlight w:val="white"/>
              </w:rPr>
              <w:t xml:space="preserve"> человека – 3 уровня нуждаемости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3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31.05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2 709,33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2 600,95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(в рамках </w:t>
            </w:r>
            <w:r>
              <w:rPr>
                <w:sz w:val="24"/>
                <w:szCs w:val="24"/>
              </w:rPr>
              <w:t xml:space="preserve">софинансирова-ния</w:t>
            </w:r>
            <w:r>
              <w:rPr>
                <w:sz w:val="24"/>
                <w:szCs w:val="24"/>
              </w:rPr>
              <w:t xml:space="preserve">)</w:t>
            </w:r>
            <w:r/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108,37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23.1.6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</w:t>
            </w:r>
            <w:r>
              <w:rPr>
                <w:sz w:val="24"/>
                <w:szCs w:val="24"/>
              </w:rPr>
              <w:t xml:space="preserve">бслуживания на дому, в июне 2025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 </w:t>
            </w:r>
            <w:r>
              <w:rPr>
                <w:sz w:val="24"/>
                <w:szCs w:val="24"/>
              </w:rPr>
              <w:t xml:space="preserve">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 </w:t>
            </w:r>
            <w:r>
              <w:rPr>
                <w:sz w:val="24"/>
                <w:szCs w:val="24"/>
                <w:highlight w:val="none"/>
              </w:rPr>
              <w:t xml:space="preserve">62</w:t>
            </w:r>
            <w:r>
              <w:rPr>
                <w:sz w:val="24"/>
                <w:szCs w:val="24"/>
                <w:highlight w:val="white"/>
              </w:rPr>
              <w:t xml:space="preserve"> человека, из них: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  <w:t xml:space="preserve"> человек - 1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32</w:t>
            </w:r>
            <w:r>
              <w:rPr>
                <w:sz w:val="24"/>
                <w:szCs w:val="24"/>
                <w:highlight w:val="white"/>
              </w:rPr>
              <w:t xml:space="preserve"> человека – 2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24</w:t>
            </w:r>
            <w:r>
              <w:rPr>
                <w:sz w:val="24"/>
                <w:szCs w:val="24"/>
                <w:highlight w:val="white"/>
              </w:rPr>
              <w:t xml:space="preserve"> человека – 3 уровня нуждаемости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3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30.06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2 647,75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2 541,84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(в рамках </w:t>
            </w:r>
            <w:r>
              <w:rPr>
                <w:sz w:val="24"/>
                <w:szCs w:val="24"/>
              </w:rPr>
              <w:t xml:space="preserve">софинансирова-ния</w:t>
            </w:r>
            <w:r>
              <w:rPr>
                <w:sz w:val="24"/>
                <w:szCs w:val="24"/>
              </w:rPr>
              <w:t xml:space="preserve">)</w:t>
            </w:r>
            <w:r/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105,91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23.1.7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</w:t>
            </w:r>
            <w:r>
              <w:rPr>
                <w:sz w:val="24"/>
                <w:szCs w:val="24"/>
              </w:rPr>
              <w:t xml:space="preserve">бслуживания на дому, в июле 2025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 </w:t>
            </w:r>
            <w:r>
              <w:rPr>
                <w:sz w:val="24"/>
                <w:szCs w:val="24"/>
              </w:rPr>
              <w:t xml:space="preserve">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 </w:t>
            </w:r>
            <w:r>
              <w:rPr>
                <w:sz w:val="24"/>
                <w:szCs w:val="24"/>
                <w:highlight w:val="none"/>
              </w:rPr>
              <w:t xml:space="preserve">62</w:t>
            </w:r>
            <w:r>
              <w:rPr>
                <w:sz w:val="24"/>
                <w:szCs w:val="24"/>
                <w:highlight w:val="white"/>
              </w:rPr>
              <w:t xml:space="preserve"> человека, из них: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  <w:t xml:space="preserve"> человек - 1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32</w:t>
            </w:r>
            <w:r>
              <w:rPr>
                <w:sz w:val="24"/>
                <w:szCs w:val="24"/>
                <w:highlight w:val="white"/>
              </w:rPr>
              <w:t xml:space="preserve"> человека – 2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24</w:t>
            </w:r>
            <w:r>
              <w:rPr>
                <w:sz w:val="24"/>
                <w:szCs w:val="24"/>
                <w:highlight w:val="white"/>
              </w:rPr>
              <w:t xml:space="preserve"> человека – 3 уровня нуждаемости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3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31.07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2 709,33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2 600,95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(в рамках </w:t>
            </w:r>
            <w:r>
              <w:rPr>
                <w:sz w:val="24"/>
                <w:szCs w:val="24"/>
              </w:rPr>
              <w:t xml:space="preserve">софинансирова-ния</w:t>
            </w:r>
            <w:r>
              <w:rPr>
                <w:sz w:val="24"/>
                <w:szCs w:val="24"/>
              </w:rPr>
              <w:t xml:space="preserve">)</w:t>
            </w:r>
            <w:r/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108,37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23.1.8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</w:t>
            </w:r>
            <w:r>
              <w:rPr>
                <w:sz w:val="24"/>
                <w:szCs w:val="24"/>
              </w:rPr>
              <w:t xml:space="preserve">уживания на дому, в августе 2025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 </w:t>
            </w:r>
            <w:r>
              <w:rPr>
                <w:sz w:val="24"/>
                <w:szCs w:val="24"/>
              </w:rPr>
              <w:t xml:space="preserve">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 </w:t>
            </w:r>
            <w:r>
              <w:rPr>
                <w:sz w:val="24"/>
                <w:szCs w:val="24"/>
                <w:highlight w:val="none"/>
              </w:rPr>
              <w:t xml:space="preserve">62</w:t>
            </w:r>
            <w:r>
              <w:rPr>
                <w:sz w:val="24"/>
                <w:szCs w:val="24"/>
                <w:highlight w:val="white"/>
              </w:rPr>
              <w:t xml:space="preserve"> человека, из них: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  <w:t xml:space="preserve"> человек - 1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32</w:t>
            </w:r>
            <w:r>
              <w:rPr>
                <w:sz w:val="24"/>
                <w:szCs w:val="24"/>
                <w:highlight w:val="white"/>
              </w:rPr>
              <w:t xml:space="preserve"> человека – 2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24</w:t>
            </w:r>
            <w:r>
              <w:rPr>
                <w:sz w:val="24"/>
                <w:szCs w:val="24"/>
                <w:highlight w:val="white"/>
              </w:rPr>
              <w:t xml:space="preserve"> человека – 3 уровня нуждаемости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3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01.08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31.08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2 709,33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2 600,95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(в рамках </w:t>
            </w:r>
            <w:r>
              <w:rPr>
                <w:sz w:val="24"/>
                <w:szCs w:val="24"/>
              </w:rPr>
              <w:t xml:space="preserve">софинансирова-ния</w:t>
            </w:r>
            <w:r>
              <w:rPr>
                <w:sz w:val="24"/>
                <w:szCs w:val="24"/>
              </w:rPr>
              <w:t xml:space="preserve">)</w:t>
            </w:r>
            <w:r/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108,37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23.1.9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</w:t>
            </w:r>
            <w:r>
              <w:rPr>
                <w:sz w:val="24"/>
                <w:szCs w:val="24"/>
              </w:rPr>
              <w:t xml:space="preserve">живания на дому, в сентябре 2025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 </w:t>
            </w:r>
            <w:r>
              <w:rPr>
                <w:sz w:val="24"/>
                <w:szCs w:val="24"/>
              </w:rPr>
              <w:t xml:space="preserve">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 </w:t>
            </w:r>
            <w:r>
              <w:rPr>
                <w:sz w:val="24"/>
                <w:szCs w:val="24"/>
                <w:highlight w:val="none"/>
              </w:rPr>
              <w:t xml:space="preserve">62</w:t>
            </w:r>
            <w:r>
              <w:rPr>
                <w:sz w:val="24"/>
                <w:szCs w:val="24"/>
                <w:highlight w:val="white"/>
              </w:rPr>
              <w:t xml:space="preserve"> человека, из них: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  <w:t xml:space="preserve"> человек - 1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32</w:t>
            </w:r>
            <w:r>
              <w:rPr>
                <w:sz w:val="24"/>
                <w:szCs w:val="24"/>
                <w:highlight w:val="white"/>
              </w:rPr>
              <w:t xml:space="preserve"> человека – 2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24</w:t>
            </w:r>
            <w:r>
              <w:rPr>
                <w:sz w:val="24"/>
                <w:szCs w:val="24"/>
                <w:highlight w:val="white"/>
              </w:rPr>
              <w:t xml:space="preserve"> человека – 3 уровня нуждаемости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3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30.09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2 647,75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2 541,84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(в рамках </w:t>
            </w:r>
            <w:r>
              <w:rPr>
                <w:sz w:val="24"/>
                <w:szCs w:val="24"/>
              </w:rPr>
              <w:t xml:space="preserve">софинансирова-ния</w:t>
            </w:r>
            <w:r>
              <w:rPr>
                <w:sz w:val="24"/>
                <w:szCs w:val="24"/>
              </w:rPr>
              <w:t xml:space="preserve">)</w:t>
            </w:r>
            <w:r/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105,91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23.1.10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</w:t>
            </w:r>
            <w:r>
              <w:rPr>
                <w:sz w:val="24"/>
                <w:szCs w:val="24"/>
              </w:rPr>
              <w:t xml:space="preserve">уживания на дому, в октябре 2025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 </w:t>
            </w:r>
            <w:r>
              <w:rPr>
                <w:sz w:val="24"/>
                <w:szCs w:val="24"/>
              </w:rPr>
              <w:t xml:space="preserve">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 </w:t>
            </w:r>
            <w:r>
              <w:rPr>
                <w:sz w:val="24"/>
                <w:szCs w:val="24"/>
                <w:highlight w:val="none"/>
              </w:rPr>
              <w:t xml:space="preserve">62</w:t>
            </w:r>
            <w:r>
              <w:rPr>
                <w:sz w:val="24"/>
                <w:szCs w:val="24"/>
                <w:highlight w:val="white"/>
              </w:rPr>
              <w:t xml:space="preserve"> человека, из них: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  <w:t xml:space="preserve"> человек - 1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32</w:t>
            </w:r>
            <w:r>
              <w:rPr>
                <w:sz w:val="24"/>
                <w:szCs w:val="24"/>
                <w:highlight w:val="white"/>
              </w:rPr>
              <w:t xml:space="preserve"> человека – 2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24</w:t>
            </w:r>
            <w:r>
              <w:rPr>
                <w:sz w:val="24"/>
                <w:szCs w:val="24"/>
                <w:highlight w:val="white"/>
              </w:rPr>
              <w:t xml:space="preserve"> человека – 3 уровня нуждаемости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3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</w:t>
            </w: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31.10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2 709,33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2 600,95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(в рамках </w:t>
            </w:r>
            <w:r>
              <w:rPr>
                <w:sz w:val="24"/>
                <w:szCs w:val="24"/>
              </w:rPr>
              <w:t xml:space="preserve">софинансирова-ния</w:t>
            </w:r>
            <w:r>
              <w:rPr>
                <w:sz w:val="24"/>
                <w:szCs w:val="24"/>
              </w:rPr>
              <w:t xml:space="preserve">)</w:t>
            </w:r>
            <w:r/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108,37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23.1.11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</w:t>
            </w:r>
            <w:r>
              <w:rPr>
                <w:sz w:val="24"/>
                <w:szCs w:val="24"/>
              </w:rPr>
              <w:t xml:space="preserve">луживания на дому, в ноябре 2025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 </w:t>
            </w:r>
            <w:r>
              <w:rPr>
                <w:sz w:val="24"/>
                <w:szCs w:val="24"/>
              </w:rPr>
              <w:t xml:space="preserve">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 </w:t>
            </w:r>
            <w:r>
              <w:rPr>
                <w:sz w:val="24"/>
                <w:szCs w:val="24"/>
                <w:highlight w:val="none"/>
              </w:rPr>
              <w:t xml:space="preserve">62</w:t>
            </w:r>
            <w:r>
              <w:rPr>
                <w:sz w:val="24"/>
                <w:szCs w:val="24"/>
                <w:highlight w:val="white"/>
              </w:rPr>
              <w:t xml:space="preserve"> человека, из них: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  <w:t xml:space="preserve"> человек - 1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32</w:t>
            </w:r>
            <w:r>
              <w:rPr>
                <w:sz w:val="24"/>
                <w:szCs w:val="24"/>
                <w:highlight w:val="white"/>
              </w:rPr>
              <w:t xml:space="preserve"> человека – 2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24</w:t>
            </w:r>
            <w:r>
              <w:rPr>
                <w:sz w:val="24"/>
                <w:szCs w:val="24"/>
                <w:highlight w:val="white"/>
              </w:rPr>
              <w:t xml:space="preserve"> человека – 3 уровня нуждаемости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3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</w:t>
            </w:r>
            <w:r>
              <w:rPr>
                <w:sz w:val="24"/>
                <w:szCs w:val="24"/>
              </w:rPr>
              <w:t xml:space="preserve">1.2025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30.11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2 665,79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2 559,16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(в рамках </w:t>
            </w:r>
            <w:r>
              <w:rPr>
                <w:sz w:val="24"/>
                <w:szCs w:val="24"/>
              </w:rPr>
              <w:t xml:space="preserve">софинансирова-ния</w:t>
            </w:r>
            <w:r>
              <w:rPr>
                <w:sz w:val="24"/>
                <w:szCs w:val="24"/>
              </w:rPr>
              <w:t xml:space="preserve">)</w:t>
            </w:r>
            <w:r/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106,63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23.1.12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</w:t>
            </w:r>
            <w:r>
              <w:rPr>
                <w:sz w:val="24"/>
                <w:szCs w:val="24"/>
              </w:rPr>
              <w:t xml:space="preserve">уживания на дому, в декабре 2025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 </w:t>
            </w:r>
            <w:r>
              <w:rPr>
                <w:sz w:val="24"/>
                <w:szCs w:val="24"/>
              </w:rPr>
              <w:t xml:space="preserve">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 </w:t>
            </w:r>
            <w:r>
              <w:rPr>
                <w:sz w:val="24"/>
                <w:szCs w:val="24"/>
                <w:highlight w:val="none"/>
              </w:rPr>
              <w:t xml:space="preserve">62</w:t>
            </w:r>
            <w:r>
              <w:rPr>
                <w:sz w:val="24"/>
                <w:szCs w:val="24"/>
                <w:highlight w:val="white"/>
              </w:rPr>
              <w:t xml:space="preserve"> человека, из них: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  <w:t xml:space="preserve"> человек - 1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32</w:t>
            </w:r>
            <w:r>
              <w:rPr>
                <w:sz w:val="24"/>
                <w:szCs w:val="24"/>
                <w:highlight w:val="white"/>
              </w:rPr>
              <w:t xml:space="preserve"> человека – 2 уровня нуждаемости;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24</w:t>
            </w:r>
            <w:r>
              <w:rPr>
                <w:sz w:val="24"/>
                <w:szCs w:val="24"/>
                <w:highlight w:val="white"/>
              </w:rPr>
              <w:t xml:space="preserve"> человека – 3 уровня нуждаемости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3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2 709,33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2 600,95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(в рамках </w:t>
            </w:r>
            <w:r>
              <w:rPr>
                <w:sz w:val="24"/>
                <w:szCs w:val="24"/>
              </w:rPr>
              <w:t xml:space="preserve">софинансирова-ния</w:t>
            </w:r>
            <w:r>
              <w:rPr>
                <w:sz w:val="24"/>
                <w:szCs w:val="24"/>
              </w:rPr>
              <w:t xml:space="preserve">)</w:t>
            </w:r>
            <w:r/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108,37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Предоставление гражданам, нуждающимся в уходе, социальных услуг по уходу на дому в рамках системы долговременного ухода</w:t>
            </w:r>
            <w:r/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 </w:t>
            </w:r>
            <w:r>
              <w:rPr>
                <w:sz w:val="24"/>
                <w:szCs w:val="24"/>
              </w:rPr>
              <w:t xml:space="preserve">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численность граждан, нуждающихся в уходе, получающих социальные услуги по уходу на дому в рамках системы долговременного ухода, 692 человека,</w:t>
              <w:br/>
              <w:t xml:space="preserve">из них:</w:t>
            </w:r>
            <w:r/>
          </w:p>
          <w:p>
            <w:pPr>
              <w:ind w:left="0" w:right="0" w:firstLine="0"/>
              <w:spacing w:after="0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 человек - 1 уровня нуждаемости;</w:t>
            </w:r>
            <w:r/>
          </w:p>
          <w:p>
            <w:pPr>
              <w:ind w:left="0" w:right="0" w:firstLine="0"/>
              <w:spacing w:after="0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135 человек – 2 уровня нуждаемости;</w:t>
            </w:r>
            <w:r/>
          </w:p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557 человек – 3 уровня нуждаемости</w:t>
            </w:r>
            <w:r/>
          </w:p>
        </w:tc>
        <w:tc>
          <w:tcPr>
            <w:tcW w:w="130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01.01.2025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31.12.2025</w:t>
            </w:r>
            <w:r/>
          </w:p>
        </w:tc>
        <w:tc>
          <w:tcPr>
            <w:tcW w:w="19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374 654,65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359 663,64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(в рамках </w:t>
            </w:r>
            <w:r>
              <w:rPr>
                <w:sz w:val="24"/>
                <w:szCs w:val="24"/>
              </w:rPr>
              <w:t xml:space="preserve">софинансирова-ния</w:t>
            </w:r>
            <w:r>
              <w:rPr>
                <w:sz w:val="24"/>
                <w:szCs w:val="24"/>
              </w:rPr>
              <w:t xml:space="preserve">)</w:t>
            </w:r>
            <w:r/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38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14 991,01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23.3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системы долговременного ухода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стационарной форме социальн</w:t>
            </w:r>
            <w:r>
              <w:rPr>
                <w:sz w:val="24"/>
                <w:szCs w:val="24"/>
              </w:rPr>
              <w:t xml:space="preserve">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государственные стационарные учреждения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исленность </w:t>
            </w:r>
            <w:r>
              <w:rPr>
                <w:sz w:val="24"/>
                <w:szCs w:val="24"/>
              </w:rPr>
              <w:t xml:space="preserve">граждан, </w:t>
            </w:r>
            <w:r>
              <w:rPr>
                <w:sz w:val="24"/>
                <w:szCs w:val="24"/>
              </w:rPr>
              <w:t xml:space="preserve">нуждающихся в уходе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получающих социальные услуги </w:t>
            </w:r>
            <w:r>
              <w:rPr>
                <w:sz w:val="24"/>
                <w:szCs w:val="24"/>
              </w:rPr>
              <w:t xml:space="preserve">по уходу </w:t>
            </w:r>
            <w:r>
              <w:rPr>
                <w:sz w:val="24"/>
                <w:szCs w:val="24"/>
              </w:rPr>
              <w:t xml:space="preserve">в рамках системы долговременного ухода</w:t>
            </w:r>
            <w:r>
              <w:rPr>
                <w:sz w:val="24"/>
                <w:szCs w:val="24"/>
              </w:rPr>
              <w:t xml:space="preserve"> в стационарной форме социального обслуживания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1 879 человек,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- 1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1 188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691 человек – 3 уровня нуждаемости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рамках текущего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перечня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стационарных организаций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социального обслуживания, 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которых гражданам,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нуждающимся в уходе,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предоставляются социальные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уходу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рамках системы долговременного ухода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еречень стационарных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обслуживания, 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которых гражданам,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нуждающимся в уходе,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предоставляются </w:t>
            </w:r>
            <w:r>
              <w:rPr>
                <w:sz w:val="24"/>
                <w:szCs w:val="24"/>
              </w:rPr>
              <w:t xml:space="preserve">социальные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уходу </w:t>
            </w:r>
            <w:r>
              <w:rPr>
                <w:sz w:val="24"/>
                <w:szCs w:val="24"/>
              </w:rPr>
              <w:t xml:space="preserve">в рамках</w:t>
            </w:r>
            <w:r>
              <w:rPr>
                <w:sz w:val="24"/>
                <w:szCs w:val="24"/>
              </w:rPr>
              <w:t xml:space="preserve"> системы долговременного ухода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left"/>
              <w:spacing w:before="0" w:beforeAutospacing="0" w:after="0" w:afterAutospacing="0" w:line="180" w:lineRule="atLeast"/>
            </w:pPr>
            <w:r>
              <w:t xml:space="preserve">(приказ Минтруда России от 24.11.2014 № 940н</w:t>
            </w:r>
            <w:r/>
          </w:p>
          <w:p>
            <w:pPr>
              <w:pStyle w:val="909"/>
              <w:jc w:val="left"/>
              <w:spacing w:before="0" w:beforeAutospacing="0" w:after="0" w:afterAutospacing="0" w:line="180" w:lineRule="atLeast"/>
              <w:rPr>
                <w:highlight w:val="none"/>
              </w:rPr>
            </w:pPr>
            <w:r>
              <w:t xml:space="preserve">«Об утверждении Правил организации деятельности организаций </w:t>
            </w:r>
            <w:r>
              <w:t xml:space="preserve">социального обслуживания, их структурных подразделений»)</w:t>
            </w:r>
            <w:r>
              <w:rPr>
                <w:highlight w:val="none"/>
              </w:rPr>
            </w:r>
          </w:p>
          <w:p>
            <w:pPr>
              <w:pStyle w:val="909"/>
              <w:jc w:val="left"/>
              <w:spacing w:before="0" w:beforeAutospacing="0" w:after="0" w:afterAutospacing="0" w:line="180" w:lineRule="atLeast"/>
            </w:pPr>
            <w:r>
              <w:rPr>
                <w:highlight w:val="none"/>
              </w:rPr>
              <w:t xml:space="preserve">(</w:t>
            </w:r>
            <w:r>
              <w:rPr>
                <w:sz w:val="24"/>
                <w:szCs w:val="24"/>
              </w:rPr>
              <w:t xml:space="preserve">приложение № 5 к Плану мероприятий («дорожной карте»)</w:t>
            </w:r>
            <w:r>
              <w:rPr>
                <w:highlight w:val="none"/>
              </w:rPr>
            </w:r>
            <w:r/>
          </w:p>
        </w:tc>
        <w:tc>
          <w:tcPr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6"/>
            <w:tcW w:w="1222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406 692,00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6"/>
            <w:tcW w:w="1222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390 419,50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6"/>
            <w:tcW w:w="122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  <w:br/>
              <w:t xml:space="preserve">(в рамках </w:t>
            </w:r>
            <w:r>
              <w:rPr>
                <w:sz w:val="24"/>
                <w:szCs w:val="24"/>
              </w:rPr>
              <w:t xml:space="preserve">софинансирова-ния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16 272,50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131"/>
        </w:trPr>
        <w:tc>
          <w:tcPr>
            <w:gridSpan w:val="6"/>
            <w:tcW w:w="122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рамках текущего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</w:p>
    <w:sectPr>
      <w:headerReference w:type="default" r:id="rId9"/>
      <w:headerReference w:type="first" r:id="rId10"/>
      <w:footerReference w:type="first" r:id="rId11"/>
      <w:footnotePr/>
      <w:endnotePr>
        <w:numFmt w:val="decimal"/>
      </w:endnotePr>
      <w:type w:val="nextPage"/>
      <w:pgSz w:w="16840" w:h="11907" w:orient="landscape"/>
      <w:pgMar w:top="851" w:right="1134" w:bottom="993" w:left="1134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TimesNewRomanPS-BoldMT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  <w:p>
    <w:pPr>
      <w:pStyle w:val="9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</w:pPr>
    <w:fldSimple w:instr="PAGE \* MERGEFORMAT">
      <w:r>
        <w:t xml:space="preserve">1</w:t>
      </w:r>
    </w:fldSimple>
    <w:r/>
    <w:r/>
  </w:p>
  <w:p>
    <w:pPr>
      <w:pStyle w:val="899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08" w:leader="none"/>
        </w:tabs>
      </w:pPr>
      <w:rPr>
        <w:rFonts w:ascii="Times New Roman" w:hAnsi="Times New Roman" w:cs="Times New Roman"/>
        <w:i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65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4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0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6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4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12"/>
  </w:num>
  <w:num w:numId="11">
    <w:abstractNumId w:val="8"/>
  </w:num>
  <w:num w:numId="12">
    <w:abstractNumId w:val="9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decimal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4">
    <w:name w:val="Heading 1 Char"/>
    <w:basedOn w:val="896"/>
    <w:link w:val="892"/>
    <w:uiPriority w:val="9"/>
    <w:rPr>
      <w:rFonts w:ascii="Arial" w:hAnsi="Arial" w:eastAsia="Arial" w:cs="Arial"/>
      <w:sz w:val="40"/>
      <w:szCs w:val="40"/>
    </w:rPr>
  </w:style>
  <w:style w:type="character" w:styleId="725">
    <w:name w:val="Heading 2 Char"/>
    <w:basedOn w:val="896"/>
    <w:link w:val="893"/>
    <w:uiPriority w:val="9"/>
    <w:rPr>
      <w:rFonts w:ascii="Arial" w:hAnsi="Arial" w:eastAsia="Arial" w:cs="Arial"/>
      <w:sz w:val="34"/>
    </w:rPr>
  </w:style>
  <w:style w:type="character" w:styleId="726">
    <w:name w:val="Heading 3 Char"/>
    <w:basedOn w:val="896"/>
    <w:link w:val="894"/>
    <w:uiPriority w:val="9"/>
    <w:rPr>
      <w:rFonts w:ascii="Arial" w:hAnsi="Arial" w:eastAsia="Arial" w:cs="Arial"/>
      <w:sz w:val="30"/>
      <w:szCs w:val="30"/>
    </w:rPr>
  </w:style>
  <w:style w:type="character" w:styleId="727">
    <w:name w:val="Heading 4 Char"/>
    <w:basedOn w:val="896"/>
    <w:link w:val="895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1"/>
    <w:next w:val="891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basedOn w:val="896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1"/>
    <w:next w:val="891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basedOn w:val="896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1"/>
    <w:next w:val="891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basedOn w:val="896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1"/>
    <w:next w:val="891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basedOn w:val="896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1"/>
    <w:next w:val="891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basedOn w:val="896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No Spacing"/>
    <w:uiPriority w:val="1"/>
    <w:qFormat/>
    <w:pPr>
      <w:spacing w:before="0" w:after="0" w:line="240" w:lineRule="auto"/>
    </w:pPr>
  </w:style>
  <w:style w:type="paragraph" w:styleId="739">
    <w:name w:val="Title"/>
    <w:basedOn w:val="891"/>
    <w:next w:val="891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>
    <w:name w:val="Title Char"/>
    <w:basedOn w:val="896"/>
    <w:link w:val="739"/>
    <w:uiPriority w:val="10"/>
    <w:rPr>
      <w:sz w:val="48"/>
      <w:szCs w:val="48"/>
    </w:rPr>
  </w:style>
  <w:style w:type="paragraph" w:styleId="741">
    <w:name w:val="Subtitle"/>
    <w:basedOn w:val="891"/>
    <w:next w:val="891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>
    <w:name w:val="Subtitle Char"/>
    <w:basedOn w:val="896"/>
    <w:link w:val="741"/>
    <w:uiPriority w:val="11"/>
    <w:rPr>
      <w:sz w:val="24"/>
      <w:szCs w:val="24"/>
    </w:rPr>
  </w:style>
  <w:style w:type="paragraph" w:styleId="743">
    <w:name w:val="Quote"/>
    <w:basedOn w:val="891"/>
    <w:next w:val="891"/>
    <w:link w:val="744"/>
    <w:uiPriority w:val="29"/>
    <w:qFormat/>
    <w:pPr>
      <w:ind w:left="720" w:right="720"/>
    </w:pPr>
    <w:rPr>
      <w:i/>
    </w:rPr>
  </w:style>
  <w:style w:type="character" w:styleId="744">
    <w:name w:val="Quote Char"/>
    <w:link w:val="743"/>
    <w:uiPriority w:val="29"/>
    <w:rPr>
      <w:i/>
    </w:rPr>
  </w:style>
  <w:style w:type="paragraph" w:styleId="745">
    <w:name w:val="Intense Quote"/>
    <w:basedOn w:val="891"/>
    <w:next w:val="891"/>
    <w:link w:val="7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>
    <w:name w:val="Intense Quote Char"/>
    <w:link w:val="745"/>
    <w:uiPriority w:val="30"/>
    <w:rPr>
      <w:i/>
    </w:rPr>
  </w:style>
  <w:style w:type="character" w:styleId="747">
    <w:name w:val="Header Char"/>
    <w:basedOn w:val="896"/>
    <w:link w:val="899"/>
    <w:uiPriority w:val="99"/>
  </w:style>
  <w:style w:type="character" w:styleId="748">
    <w:name w:val="Footer Char"/>
    <w:basedOn w:val="896"/>
    <w:link w:val="900"/>
    <w:uiPriority w:val="99"/>
  </w:style>
  <w:style w:type="character" w:styleId="749">
    <w:name w:val="Caption Char"/>
    <w:basedOn w:val="901"/>
    <w:link w:val="900"/>
    <w:uiPriority w:val="99"/>
  </w:style>
  <w:style w:type="table" w:styleId="750">
    <w:name w:val="Table Grid Light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9">
    <w:name w:val="List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0">
    <w:name w:val="List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1">
    <w:name w:val="List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2">
    <w:name w:val="List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3">
    <w:name w:val="List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4">
    <w:name w:val="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 &amp; 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Bordered &amp; 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Bordered &amp; 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Bordered &amp; 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Bordered &amp; 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Bordered &amp; 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5">
    <w:name w:val="Hyperlink"/>
    <w:uiPriority w:val="99"/>
    <w:unhideWhenUsed/>
    <w:rPr>
      <w:color w:val="0000ff" w:themeColor="hyperlink"/>
      <w:u w:val="single"/>
    </w:rPr>
  </w:style>
  <w:style w:type="character" w:styleId="876">
    <w:name w:val="Footnote Text Char"/>
    <w:link w:val="913"/>
    <w:uiPriority w:val="99"/>
    <w:rPr>
      <w:sz w:val="18"/>
    </w:rPr>
  </w:style>
  <w:style w:type="paragraph" w:styleId="877">
    <w:name w:val="endnote text"/>
    <w:basedOn w:val="89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basedOn w:val="896"/>
    <w:uiPriority w:val="99"/>
    <w:semiHidden/>
    <w:unhideWhenUsed/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qFormat/>
    <w:pPr>
      <w:widowControl w:val="off"/>
    </w:pPr>
  </w:style>
  <w:style w:type="paragraph" w:styleId="892">
    <w:name w:val="Heading 1"/>
    <w:basedOn w:val="891"/>
    <w:next w:val="891"/>
    <w:qFormat/>
    <w:pPr>
      <w:jc w:val="both"/>
      <w:keepNext/>
      <w:widowControl/>
      <w:outlineLvl w:val="0"/>
    </w:pPr>
    <w:rPr>
      <w:sz w:val="24"/>
    </w:rPr>
  </w:style>
  <w:style w:type="paragraph" w:styleId="893">
    <w:name w:val="Heading 2"/>
    <w:basedOn w:val="891"/>
    <w:next w:val="891"/>
    <w:link w:val="902"/>
    <w:qFormat/>
    <w:pPr>
      <w:keepNext/>
      <w:widowControl/>
      <w:outlineLvl w:val="1"/>
    </w:pPr>
    <w:rPr>
      <w:sz w:val="24"/>
    </w:rPr>
  </w:style>
  <w:style w:type="paragraph" w:styleId="894">
    <w:name w:val="Heading 3"/>
    <w:basedOn w:val="891"/>
    <w:next w:val="891"/>
    <w:qFormat/>
    <w:pPr>
      <w:jc w:val="center"/>
      <w:keepNext/>
      <w:widowControl/>
      <w:outlineLvl w:val="2"/>
    </w:pPr>
    <w:rPr>
      <w:b/>
      <w:sz w:val="40"/>
    </w:rPr>
  </w:style>
  <w:style w:type="paragraph" w:styleId="895">
    <w:name w:val="Heading 4"/>
    <w:basedOn w:val="891"/>
    <w:next w:val="891"/>
    <w:qFormat/>
    <w:pPr>
      <w:jc w:val="center"/>
      <w:keepNext/>
      <w:outlineLvl w:val="3"/>
    </w:pPr>
    <w:rPr>
      <w:sz w:val="28"/>
    </w:rPr>
  </w:style>
  <w:style w:type="character" w:styleId="896" w:default="1">
    <w:name w:val="Default Paragraph Font"/>
    <w:uiPriority w:val="1"/>
    <w:semiHidden/>
    <w:unhideWhenUsed/>
  </w:style>
  <w:style w:type="table" w:styleId="8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8" w:default="1">
    <w:name w:val="No List"/>
    <w:uiPriority w:val="99"/>
    <w:semiHidden/>
    <w:unhideWhenUsed/>
  </w:style>
  <w:style w:type="paragraph" w:styleId="899">
    <w:name w:val="Header"/>
    <w:basedOn w:val="891"/>
    <w:link w:val="911"/>
    <w:uiPriority w:val="99"/>
    <w:pPr>
      <w:tabs>
        <w:tab w:val="center" w:pos="4153" w:leader="none"/>
        <w:tab w:val="right" w:pos="8306" w:leader="none"/>
      </w:tabs>
    </w:pPr>
  </w:style>
  <w:style w:type="paragraph" w:styleId="900">
    <w:name w:val="Footer"/>
    <w:basedOn w:val="891"/>
    <w:pPr>
      <w:tabs>
        <w:tab w:val="center" w:pos="4153" w:leader="none"/>
        <w:tab w:val="right" w:pos="8306" w:leader="none"/>
      </w:tabs>
    </w:pPr>
  </w:style>
  <w:style w:type="paragraph" w:styleId="901">
    <w:name w:val="Caption"/>
    <w:basedOn w:val="891"/>
    <w:next w:val="891"/>
    <w:qFormat/>
    <w:pPr>
      <w:jc w:val="center"/>
      <w:widowControl/>
    </w:pPr>
    <w:rPr>
      <w:b/>
      <w:sz w:val="40"/>
    </w:rPr>
  </w:style>
  <w:style w:type="character" w:styleId="902" w:customStyle="1">
    <w:name w:val="Заголовок 2 Знак"/>
    <w:link w:val="893"/>
    <w:rPr>
      <w:sz w:val="24"/>
    </w:rPr>
  </w:style>
  <w:style w:type="paragraph" w:styleId="903">
    <w:name w:val="Balloon Text"/>
    <w:basedOn w:val="891"/>
    <w:link w:val="904"/>
    <w:rPr>
      <w:rFonts w:ascii="Tahoma" w:hAnsi="Tahoma" w:cs="Tahoma"/>
      <w:sz w:val="16"/>
      <w:szCs w:val="16"/>
    </w:rPr>
  </w:style>
  <w:style w:type="character" w:styleId="904" w:customStyle="1">
    <w:name w:val="Текст выноски Знак"/>
    <w:link w:val="903"/>
    <w:rPr>
      <w:rFonts w:ascii="Tahoma" w:hAnsi="Tahoma" w:cs="Tahoma"/>
      <w:sz w:val="16"/>
      <w:szCs w:val="16"/>
    </w:rPr>
  </w:style>
  <w:style w:type="paragraph" w:styleId="905" w:customStyle="1">
    <w:name w:val="ConsPlusTitle"/>
    <w:pPr>
      <w:widowControl w:val="off"/>
    </w:pPr>
    <w:rPr>
      <w:b/>
      <w:bCs/>
      <w:sz w:val="28"/>
      <w:szCs w:val="28"/>
    </w:rPr>
  </w:style>
  <w:style w:type="paragraph" w:styleId="906" w:customStyle="1">
    <w:name w:val="ConsPlusNormal"/>
    <w:pPr>
      <w:widowControl w:val="off"/>
    </w:pPr>
    <w:rPr>
      <w:sz w:val="28"/>
    </w:rPr>
  </w:style>
  <w:style w:type="paragraph" w:styleId="907">
    <w:name w:val="Body Text Indent 3"/>
    <w:basedOn w:val="891"/>
    <w:link w:val="908"/>
    <w:uiPriority w:val="99"/>
    <w:pPr>
      <w:ind w:left="283"/>
      <w:spacing w:after="120"/>
      <w:widowControl/>
    </w:pPr>
    <w:rPr>
      <w:sz w:val="16"/>
      <w:szCs w:val="16"/>
    </w:rPr>
  </w:style>
  <w:style w:type="character" w:styleId="908" w:customStyle="1">
    <w:name w:val="Основной текст с отступом 3 Знак"/>
    <w:basedOn w:val="896"/>
    <w:link w:val="907"/>
    <w:uiPriority w:val="99"/>
    <w:rPr>
      <w:sz w:val="16"/>
      <w:szCs w:val="16"/>
    </w:rPr>
  </w:style>
  <w:style w:type="paragraph" w:styleId="909">
    <w:name w:val="Normal (Web)"/>
    <w:basedOn w:val="891"/>
    <w:uiPriority w:val="99"/>
    <w:unhideWhenUsed/>
    <w:pPr>
      <w:spacing w:before="100" w:beforeAutospacing="1" w:after="100" w:afterAutospacing="1"/>
      <w:widowControl/>
    </w:pPr>
    <w:rPr>
      <w:sz w:val="24"/>
      <w:szCs w:val="24"/>
    </w:rPr>
  </w:style>
  <w:style w:type="table" w:styleId="910">
    <w:name w:val="Table Grid"/>
    <w:basedOn w:val="897"/>
    <w:uiPriority w:val="59"/>
    <w:rPr>
      <w:rFonts w:eastAsiaTheme="minorHAnsi"/>
      <w:sz w:val="28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1" w:customStyle="1">
    <w:name w:val="Верхний колонтитул Знак"/>
    <w:basedOn w:val="896"/>
    <w:link w:val="899"/>
    <w:uiPriority w:val="99"/>
  </w:style>
  <w:style w:type="paragraph" w:styleId="912">
    <w:name w:val="List Paragraph"/>
    <w:basedOn w:val="891"/>
    <w:uiPriority w:val="34"/>
    <w:qFormat/>
    <w:pPr>
      <w:contextualSpacing/>
      <w:ind w:left="720"/>
    </w:pPr>
  </w:style>
  <w:style w:type="paragraph" w:styleId="913">
    <w:name w:val="footnote text"/>
    <w:basedOn w:val="891"/>
    <w:link w:val="914"/>
  </w:style>
  <w:style w:type="character" w:styleId="914" w:customStyle="1">
    <w:name w:val="Текст сноски Знак"/>
    <w:basedOn w:val="896"/>
    <w:link w:val="913"/>
  </w:style>
  <w:style w:type="character" w:styleId="915">
    <w:name w:val="footnote reference"/>
    <w:basedOn w:val="896"/>
    <w:rPr>
      <w:vertAlign w:val="superscript"/>
    </w:rPr>
  </w:style>
  <w:style w:type="character" w:styleId="916">
    <w:name w:val="annotation reference"/>
    <w:basedOn w:val="896"/>
    <w:rPr>
      <w:sz w:val="16"/>
      <w:szCs w:val="16"/>
    </w:rPr>
  </w:style>
  <w:style w:type="paragraph" w:styleId="917">
    <w:name w:val="annotation text"/>
    <w:basedOn w:val="891"/>
    <w:link w:val="918"/>
  </w:style>
  <w:style w:type="character" w:styleId="918" w:customStyle="1">
    <w:name w:val="Текст примечания Знак"/>
    <w:basedOn w:val="896"/>
    <w:link w:val="917"/>
  </w:style>
  <w:style w:type="paragraph" w:styleId="919">
    <w:name w:val="annotation subject"/>
    <w:basedOn w:val="917"/>
    <w:next w:val="917"/>
    <w:link w:val="920"/>
    <w:rPr>
      <w:b/>
      <w:bCs/>
    </w:rPr>
  </w:style>
  <w:style w:type="character" w:styleId="920" w:customStyle="1">
    <w:name w:val="Тема примечания Знак"/>
    <w:basedOn w:val="918"/>
    <w:link w:val="919"/>
    <w:rPr>
      <w:b/>
      <w:bCs/>
    </w:rPr>
  </w:style>
  <w:style w:type="character" w:styleId="921" w:customStyle="1">
    <w:name w:val="Другое_"/>
    <w:link w:val="922"/>
    <w:uiPriority w:val="99"/>
    <w:rPr>
      <w:shd w:val="clear" w:color="auto" w:fill="ffffff"/>
    </w:rPr>
  </w:style>
  <w:style w:type="paragraph" w:styleId="922" w:customStyle="1">
    <w:name w:val="Другое"/>
    <w:basedOn w:val="891"/>
    <w:link w:val="921"/>
    <w:uiPriority w:val="99"/>
    <w:pPr>
      <w:spacing w:line="264" w:lineRule="auto"/>
      <w:shd w:val="clear" w:color="auto" w:fill="ffffff"/>
    </w:pPr>
    <w:rPr>
      <w:shd w:val="clear" w:color="auto" w:fill="ffffff"/>
    </w:rPr>
  </w:style>
  <w:style w:type="paragraph" w:styleId="923" w:customStyle="1">
    <w:name w:val="ConsPlusNonformat"/>
    <w:rPr>
      <w:rFonts w:ascii="Courier New" w:hAnsi="Courier New" w:cs="Courier New"/>
    </w:rPr>
  </w:style>
  <w:style w:type="character" w:styleId="924" w:customStyle="1">
    <w:name w:val="fontstyle01"/>
    <w:basedOn w:val="896"/>
    <w:rPr>
      <w:rFonts w:hint="default" w:ascii="TimesNewRomanPS-BoldMT" w:hAnsi="TimesNewRomanPS-BoldMT"/>
      <w:b/>
      <w:bCs/>
      <w:i w:val="0"/>
      <w:iCs w:val="0"/>
      <w:color w:val="1a1a1a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36AD0-E764-4926-82CD-79B23B0E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Elcom Ltd</Company>
  <DocSecurity>0</DocSecurity>
  <HyperlinksChanged>false</HyperlinksChanged>
  <LinksUpToDate>false</LinksUpToDate>
  <ScaleCrop>false</ScaleCrop>
  <SharedDoc>false</SharedDoc>
  <Template>Распоряжение Правительства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Черепкова Наталья Константина</dc:creator>
  <cp:revision>6</cp:revision>
  <dcterms:created xsi:type="dcterms:W3CDTF">2024-11-20T09:05:00Z</dcterms:created>
  <dcterms:modified xsi:type="dcterms:W3CDTF">2024-12-06T03:25:13Z</dcterms:modified>
</cp:coreProperties>
</file>