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05.12.2016 № 112-ОЗ «Об отдельных вопросах регулирования земельных отношений на территории Новосибирской области», постановлением Правительства Новосибирской области от 31.07.2023 № 350-п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строительства», ПРИКАЗЫВАЮ: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06.06.2024 N 1166-НПА «Об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«Предоставление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являющимися ветеранами боевых действий, либо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являющимися ветеранами боевых действий, либо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являющимися ветеранами боевых действий, а также постоянно проживающим на территории Новосибирской области, состоящим на учете в качестве лиц, имеющих право на предоставление земельного участка для индивидуального жилищного строительства, а также состоящим на учете в качестве лиц нуждающихся в жилом помещении, предоставляемом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ветеранам боевых действий, постоянно проживающим на территории Новосибирской области, состоящим на учете в качестве лиц, имеющим право на предоставление земельного участка для индивидуального жилищного строительства, а также состоящим на учете в качестве лиц нуждающихся в жилом помещении, предоставляемом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членам семей погибшим (умершим)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постоянно проживающим на территории Новосибирской области, состоящим на учете в качестве лиц, имеющих право на предоставление земельного участка для индивидуального жилищного строительства, а также состоящим на учете в качестве лиц нуждающихся в жилом помещении, предоставляемом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нетрудоспособным членам семьи погибшего (умершего) ветерана боевых действий, инвалида войны, участника Великой Отечественной войны, состоявшим на его иждивении, получающим пенсию по случаю потери кормильца (имеющим право на ее получение) в соответствии с законодательством Российской Федерации и постоянно проживающим на территории Новосибирской области, состоящих на учете в качестве лиц, имеющим право на предоставление земельного участка для индивидуального жилищного строительства, а также состоящим на учете в качестве лиц нуждающихся в жилом помещении, предоставляемом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могут принять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выплата денежных средств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55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ветераны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к присвоению званий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подтверждающая, что участник специальной военной операции погиб в ходе участия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гибель (смерть) гражданина вследствие увечья (контузии, травмы, ранения)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к присвоению званий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условия назначения социальной пенсии по случаю потери кормильца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условия назначения социальной пенсии по случаю потери кормильца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нетрудоспособности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получение пенсии по случаю потери кормильца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к присвоению званий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подтверждающая, что участник специальной военной операции погиб в ходе участия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гибель (смерть) гражданина вследствие увечья (контузии, травмы, ранения)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к присвоению званий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предоставляется за заслуги, проявленные в ходе участия в специальной военной операции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форма утверждена 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791D49" w:rsidRPr="002F6476">
        <w:rPr>
          <w:sz w:val="28"/>
          <w:szCs w:val="28"/>
        </w:rPr>
        <w:t xml:space="preserve"> (</w:t>
      </w:r>
      <w:r w:rsidR="00791D49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уведомление о регистрации в системе индивидуального (персонифицированного) учета (АДИ-РЕГ)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условия назначения социальной пенсии по случаю потери кормильца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условия назначения социальной пенсии по случаю потери кормильца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Справка о постановке на учет в качестве нуждающегося в жилом помещении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нетрудоспособности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подтверждающие получение пенсии по случаю потери кормильца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центры социальной поддержки населения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ветераны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гражданин Российской Федерации, постоянно проживающий на территории Новосибирской области, состоящий на учете в качестве лица, имеющего право на предоставление земельного участка для индивидуального жилищного строительства, а также состоящий на учете в качестве нуждающегося в жилом помещении, предоставляемом по договору социального найма?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Ветераны боевых действий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4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2F6476">
        <w:rPr>
          <w:noProof/>
          <w:lang w:val="en-US"/>
        </w:rPr>
        <w:t/>
      </w:r>
    </w:p>
    <w:p>
      <w:pPr>
        <w:pageBreakBefore w:val="on"/>
      </w:pP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Приложение № 2 к Административному регламенту, утвержденному приказом Минтруда и соцразвития НСО  от DATEDOUBLEACTIVATED № DOCNUMBER </w:t>
      </w:r>
    </w:p>
    <w:p>
      <w:pPr xmlns:a="http://schemas.openxmlformats.org/drawingml/2006/main">
        <w:ind w:left="6250" w:firstLine="0"/>
        <w:jc w:val="left"/>
      </w:pPr>
      <w:r>
        <w:rPr xmlns:a="http://schemas.openxmlformats.org/drawingml/2006/main">
          <w:sz w:val="28"/>
        </w:rPr>
        <w:t xml:space="preserve"> </w:t>
      </w:r>
    </w:p>
    <w:p>
      <w:pPr xmlns:a="http://schemas.openxmlformats.org/drawingml/2006/main">
        <w:pStyle w:val="UserStyle_4"/>
        <w:jc w:val="center"/>
        <w:rPr>
          <w:sz w:val="22"/>
        </w:rPr>
      </w:pPr>
      <w:r>
        <w:rPr xmlns:a="http://schemas.openxmlformats.org/drawingml/2006/main">
          <w:sz w:val="22"/>
        </w:rPr>
        <w:t>СОГЛАСИЕ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          на обработку персональных данных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Я, ____________________________________________________________________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     (фамилия, имя, отчество (последнее - при наличии)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проживающий(ая) по адресу ________________________________________________,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документ, удостоверяющий личность: серия ____________ N __________________,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выдан ____________________________________________________________________,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                    (кем и когда выдан)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N СНИЛС _________________________________,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свободно,  своей  волей  и  в  своем  интересе  даю согласие уполномоченным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должностным лицам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___________________________________________________________________________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(наименование центра социальной поддержки населения)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на   обработку   (любое   действие  (операцию)  или  совокупность  действий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(операций),  совершаемых  с  использованием  средств  автоматизации или без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использования  таких средств с персональными данными, включая сбор, запись,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систематизацию,  накопление,  хранение,  уточнение (обновление, изменение),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извлечение,   использование,   передачу  (распространение,  предоставление,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доступ),  обезличивание,  блокирование,  удаление,  уничтожение)  следующих</w:t>
      </w:r>
    </w:p>
    <w:p>
      <w:pPr xmlns:a="http://schemas.openxmlformats.org/drawingml/2006/main">
        <w:pStyle w:val="UserStyle_4"/>
        <w:jc w:val="both"/>
      </w:pPr>
      <w:r>
        <w:rPr xmlns:a="http://schemas.openxmlformats.org/drawingml/2006/main">
          <w:sz w:val="22"/>
        </w:rPr>
        <w:t>персональных данных: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фамилия, имя, отчество (последнее - при наличии);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адрес регистрации и фактического проживания;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документ, удостоверяющий личность (серия, номер, кем и когда выдан);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N СНИЛС.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Вышеуказанные  персональные  данные  предоставлю  для обработки в целях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предоставления государственной услуги _____________________________________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___________________________________________________________________________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        (наименование государственной услуги)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Настоящее  согласие  действует  на  период до истечения сроков хранения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соответствующей информации или документов, содержащих указанную информацию,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определяемых в соответствии с законодательством Российской Федерации.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Отзыв   согласия  осуществляется  в  соответствии  с  законодательством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>Российской Федерации.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_________________________________          "____" ____________ 20___ г.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(фамилия, имя, отчество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(последнее - при наличии)              ____________________________</w:t>
      </w:r>
    </w:p>
    <w:p>
      <w:pPr xmlns:a="http://schemas.openxmlformats.org/drawingml/2006/main">
        <w:pStyle w:val="UserStyle_4"/>
        <w:jc w:val="both"/>
        <w:rPr>
          <w:sz w:val="22"/>
        </w:rPr>
      </w:pPr>
      <w:r>
        <w:rPr xmlns:a="http://schemas.openxmlformats.org/drawingml/2006/main">
          <w:sz w:val="22"/>
        </w:rPr>
        <w:t xml:space="preserve">                                                         (подпись)</w:t>
      </w:r>
    </w:p>
    <w:p>
      <w:pPr xmlns:a="http://schemas.openxmlformats.org/drawingml/2006/main">
        <w:pStyle w:val="UserStyle_3"/>
        <w:ind w:firstLine="540"/>
        <w:jc w:val="both"/>
        <w:rPr>
          <w:sz w:val="24"/>
        </w:rPr>
        <w:sectPr>
          <w:type w:val="continuous"/>
          <w:pgSz w:orient="portrait" w:w="11906" w:h="16838"/>
          <w:pgMar w:top="720" w:right="720" w:bottom="720" w:left="720" w:header="708" w:footer="708" w:gutter="0"/>
        </w:sectPr>
      </w:pPr>
      <w:r>
        <w:rPr xmlns:a="http://schemas.openxmlformats.org/drawingml/2006/main">
          <w:sz w:val="24"/>
        </w:rPr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Normal">
    <w:name w:val="Normal"/>
    <w:aliases w:val="Обычный"/>
    <w:next w:val="Normal"/>
    <w:link w:val="Normal"/>
    <w:qFormat/>
    <w:rPr>
      <w:szCs w:val="24"/>
      <w:lang w:val="ru-RU" w:eastAsia="ru-RU" w:bidi="ar-SA"/>
      <w:sz w:val="24"/>
    </w:rPr>
  </w:style>
  <w:style w:type="paragraph" w:styleId="UserStyle_3">
    <w:name w:val="ConsPlusNormal"/>
    <w:next w:val="UserStyle_3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2024-09-11T15:09:00Z</dcterms:created>
  <dc:creator>Кузнецов Виталий Геннадиевич</dc:creator>
  <cp:lastModifiedBy>Кузнецов Виталий Геннадиевич</cp:lastModifiedBy>
  <dcterms:modified xsi:type="dcterms:W3CDTF">2024-09-11T15:09:00Z</dcterms:modified>
  <cp:revision>3</cp:revision>
</cp:coreProperties>
</file>