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390"/>
        <w:gridCol w:w="6312"/>
        <w:gridCol w:w="540"/>
        <w:gridCol w:w="1935"/>
        <w:gridCol w:w="30"/>
      </w:tblGrid>
      <w:tr>
        <w:trPr>
          <w:gridAfter w:val="1"/>
          <w:trHeight w:val="2834"/>
        </w:trPr>
        <w:tc>
          <w:tcPr>
            <w:tcW w:w="10177" w:type="dxa"/>
            <w:gridSpan w:val="4"/>
          </w:tcPr>
          <w:p>
            <w:pPr>
              <w:ind w:left="-284" w:firstLine="28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2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sz w:val="28"/>
                <w:szCs w:val="28"/>
                <w:lang w:eastAsia="ru-RU"/>
              </w:rPr>
            </w:pPr>
          </w:p>
          <w:p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 xml:space="preserve">МИНИСТЕРСТВО ТРУДА И СОЦИАЛЬНОГО РАЗВИТИЯ</w:t>
            </w:r>
          </w:p>
          <w:p>
            <w:pPr>
              <w:ind w:left="-142" w:firstLine="142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 xml:space="preserve">НОВОСИБИРСКОЙ ОБЛАСТИ</w:t>
            </w:r>
          </w:p>
          <w:p>
            <w:pPr>
              <w:jc w:val="center"/>
              <w:rPr>
                <w:b/>
                <w:sz w:val="27"/>
                <w:szCs w:val="27"/>
                <w:lang w:eastAsia="ru-RU"/>
              </w:rPr>
            </w:pPr>
          </w:p>
          <w:p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 xml:space="preserve">ПРИКАЗ</w:t>
            </w:r>
          </w:p>
          <w:p>
            <w:pPr>
              <w:jc w:val="center"/>
              <w:rPr>
                <w:sz w:val="22"/>
                <w:lang w:eastAsia="ru-RU"/>
              </w:rPr>
            </w:pPr>
          </w:p>
        </w:tc>
      </w:tr>
      <w:tr>
        <w:trPr>
          <w:trHeight w:val="227"/>
        </w:trPr>
        <w:tc>
          <w:tcPr>
            <w:tcW w:w="1390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  <w:lang w:eastAsia="ru-RU"/>
              </w:rPr>
            </w:pPr>
          </w:p>
        </w:tc>
      </w:tr>
      <w:tr>
        <w:trPr>
          <w:trHeight w:val="347"/>
        </w:trPr>
        <w:tc>
          <w:tcPr>
            <w:tcW w:w="10207" w:type="dxa"/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 Новосибирск</w:t>
            </w:r>
          </w:p>
        </w:tc>
      </w:tr>
      <w:tr>
        <w:trPr>
          <w:trHeight w:val="66"/>
        </w:trPr>
        <w:tc>
          <w:tcPr>
            <w:tcW w:w="10207" w:type="dxa"/>
            <w:gridSpan w:val="5"/>
          </w:tcPr>
          <w:p>
            <w:pPr>
              <w:rPr>
                <w:sz w:val="24"/>
                <w:szCs w:val="24"/>
                <w:lang w:eastAsia="ru-RU"/>
              </w:rPr>
            </w:pPr>
          </w:p>
          <w:p>
            <w:pPr>
              <w:rPr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Об утверждении Административного регламента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</w:t>
            </w:r>
            <w:r>
              <w:rPr>
                <w:bCs/>
                <w:sz w:val="28"/>
                <w:szCs w:val="28"/>
                <w:lang w:eastAsia="ru-RU"/>
              </w:rPr>
              <w:t xml:space="preserve">«</w:t>
            </w:r>
            <w:r>
              <w:rPr>
                <w:sz w:val="28"/>
                <w:szCs w:val="28"/>
              </w:rPr>
              <w:t xml:space="preserve">Учет и подбор граждан, выразивших желание стать опекунами или попечителями совершеннолетних недееспособных или не полностью дееспособных граждан»</w:t>
            </w:r>
          </w:p>
          <w:p>
            <w:pPr>
              <w:ind w:firstLine="709"/>
              <w:rPr>
                <w:sz w:val="28"/>
                <w:szCs w:val="28"/>
              </w:rPr>
            </w:pP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24.04.2008 № 48-ФЗ «Об опеке и попечительстве»,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17.11.2010 № 927 «Об отдельных вопросах осуществления опеки и попечительства в отношении совершеннолетних недееспособных или не полностью дееспособных граждан»,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части 3 статьи 1 Федерального закона «Об организации предоставления государственных и муниципальных услуг», приказом Министерства здравоохранения и социального развития Российской Федерации от 08.08.2011 № 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</w:t>
            </w:r>
            <w:r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 xml:space="preserve">2010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  <w:t xml:space="preserve"> № 927», приказом Министерства труда и социальной защиты Российской Федерации от 09.03.2017 № 250н «Об утверждении формы акта об обследовании условий жизни близкого родственника, выразившего желание стать опекуном или попечителем совершеннолетнего </w:t>
            </w:r>
            <w:r>
              <w:rPr>
                <w:sz w:val="28"/>
                <w:szCs w:val="28"/>
              </w:rPr>
              <w:t xml:space="preserve">недееспособного или не полностью дееспособного гражданина», приказом Министерства здравоохранения Российской Федерации от 10.08.2020 № 823н «Об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гражданина», Законом Новосибирской области от 15.12.2007 № 175-ОЗ «Об опеке и попечительстве в Новосибирской области», Законом Новосибирской области от 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</w:t>
            </w:r>
          </w:p>
          <w:p>
            <w:pPr>
              <w:ind w:firstLine="709"/>
              <w:contextualSpacing/>
              <w:jc w:val="both"/>
              <w:rPr>
                <w:szCs w:val="20"/>
                <w:lang w:eastAsia="ru-RU"/>
              </w:rPr>
            </w:pPr>
          </w:p>
          <w:p>
            <w:pPr>
              <w:contextualSpacing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 xml:space="preserve">ПРИКАЗЫВАЮ:</w:t>
            </w:r>
          </w:p>
          <w:p>
            <w:pPr>
              <w:ind w:firstLine="709"/>
              <w:contextualSpacing/>
              <w:jc w:val="both"/>
              <w:rPr>
                <w:szCs w:val="20"/>
                <w:lang w:eastAsia="ru-RU"/>
              </w:rPr>
            </w:pP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Утвердить прилагаемый Административный </w:t>
            </w:r>
            <w:r>
              <w:rPr>
                <w:sz w:val="28"/>
                <w:szCs w:val="28"/>
              </w:rPr>
              <w:t xml:space="preserve">регламент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«Учет и подбор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Административный регламент)</w:t>
            </w:r>
            <w:r>
              <w:rPr>
                <w:sz w:val="28"/>
                <w:szCs w:val="28"/>
              </w:rPr>
              <w:t xml:space="preserve">.</w:t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Признать утратившим силу приказ министерства труда и социального развития Новосибирской области от 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19-</w:t>
            </w:r>
            <w:r>
              <w:rPr>
                <w:sz w:val="28"/>
                <w:szCs w:val="28"/>
              </w:rPr>
              <w:t xml:space="preserve">НПА</w:t>
            </w:r>
            <w:r>
              <w:rPr>
                <w:sz w:val="28"/>
                <w:szCs w:val="28"/>
              </w:rPr>
              <w:t xml:space="preserve"> «Об утверждении Административного </w:t>
            </w:r>
            <w:r>
              <w:rPr>
                <w:sz w:val="28"/>
                <w:szCs w:val="28"/>
              </w:rPr>
              <w:t xml:space="preserve">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«Учет и подбор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  <w:r>
              <w:rPr>
                <w:sz w:val="28"/>
                <w:szCs w:val="28"/>
              </w:rPr>
              <w:t xml:space="preserve">».</w:t>
            </w:r>
          </w:p>
          <w:p>
            <w:pPr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3. </w:t>
            </w:r>
            <w:r>
              <w:rPr>
                <w:sz w:val="28"/>
                <w:szCs w:val="28"/>
                <w:lang w:eastAsia="ru-RU"/>
              </w:rPr>
              <w:t xml:space="preserve">Управлению семейной политики и защиты прав детей (Кузьмина Н.Л.) направить данный Административный регламент органам местного самоуправления муниципальных образований Новосибирской области, осуществляющим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для использования в работе.</w:t>
            </w:r>
          </w:p>
          <w:p>
            <w:pPr>
              <w:ind w:firstLine="709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 Контроль за исполнением приказа возложить на заместителя министра труда и социального развития Новосибирской области Марущак Е.Б.</w:t>
            </w:r>
          </w:p>
          <w:p>
            <w:pPr>
              <w:rPr>
                <w:sz w:val="24"/>
                <w:szCs w:val="24"/>
                <w:lang w:eastAsia="ru-RU"/>
              </w:rPr>
            </w:pPr>
          </w:p>
          <w:p>
            <w:pPr>
              <w:rPr>
                <w:sz w:val="24"/>
                <w:szCs w:val="24"/>
                <w:lang w:eastAsia="ru-RU"/>
              </w:rPr>
            </w:pPr>
          </w:p>
          <w:p>
            <w:pPr>
              <w:rPr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</w:t>
            </w:r>
            <w:r>
              <w:rPr>
                <w:sz w:val="28"/>
                <w:szCs w:val="28"/>
                <w:lang w:eastAsia="ru-RU"/>
              </w:rPr>
              <w:t xml:space="preserve">инистр             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Е.</w:t>
            </w:r>
            <w:r>
              <w:rPr>
                <w:sz w:val="28"/>
                <w:szCs w:val="28"/>
                <w:lang w:eastAsia="ru-RU"/>
              </w:rPr>
              <w:t xml:space="preserve">В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Бахарева</w:t>
            </w:r>
          </w:p>
          <w:p>
            <w:pPr>
              <w:jc w:val="both"/>
              <w:rPr>
                <w:sz w:val="10"/>
                <w:szCs w:val="10"/>
                <w:lang w:eastAsia="ru-RU"/>
              </w:rPr>
            </w:pPr>
          </w:p>
        </w:tc>
      </w:tr>
    </w:tbl>
    <w:p>
      <w:pPr>
        <w:widowControl w:val="off"/>
        <w:ind w:left="4395"/>
        <w:jc w:val="center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УТВЕРЖДЕН</w:t>
      </w:r>
    </w:p>
    <w:p>
      <w:pPr>
        <w:widowControl w:val="off"/>
        <w:ind w:left="439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приказом министерства труда и социального развития Новосибирской области</w:t>
      </w:r>
    </w:p>
    <w:p>
      <w:pPr>
        <w:ind w:left="439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_____________ № _________</w:t>
      </w:r>
    </w:p>
    <w:p>
      <w:pPr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 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«Учет и подбор граждан, выразивших желание стать опекунами или попечителями совершеннолетних недееспособных или не полностью дееспособных граждан»</w:t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Учет и подбор граждан, выразивших желание стать опекунами или попечителями совершеннолетних недееспособных или не полностью дееспособных граждан»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 xml:space="preserve">совершеннолетним дееспособным гражданам, выразившим желание стать опекунами (попечителями) совершеннолетних недееспособных (ограниченно дееспособных) граждан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 xml:space="preserve">Услуги (далее – вариант).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e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Административным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Учет и подбор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Услугу предоставляют </w:t>
      </w:r>
      <w:r>
        <w:rPr>
          <w:sz w:val="28"/>
          <w:szCs w:val="28"/>
        </w:rPr>
        <w:t xml:space="preserve">органы местного самоуправления муниципальных образований Новосибирской области, осуществляющие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 (далее</w:t>
      </w:r>
      <w:r>
        <w:rPr>
          <w:sz w:val="28"/>
          <w:szCs w:val="28"/>
          <w:lang w:eastAsia="ru-RU"/>
        </w:rPr>
        <w:t xml:space="preserve"> – орган местного самоуправления</w:t>
      </w:r>
      <w:r>
        <w:rPr>
          <w:sz w:val="28"/>
          <w:szCs w:val="28"/>
        </w:rPr>
        <w:t xml:space="preserve">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выдачей заключения о возможности гражданина быть опекуном (попечителем) недееспособных или не полностью дееспособных граждан результатами предоставления Услуги являются: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заключение о возможности заявителя быть опекуном (попечителем) (документ на бумажном носителе или в форме электронного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заключение о невозможности заявителя быть опекуном (попечителем) (документ на бумажном носителе или в форме электронного документа).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установлением опеки (попечительства) в отношении совершеннолетних граждан, признанных судом недееспособными либо не полностью дееспособными результатами предоставления Услуги являются: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акт органа опеки и попечительства о назначении опекуном (попечителем) или о назначении нескольких опекунов (приказ, постановление, распоряжение);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акт органа опеки и попечительства об отказе в назначении опекуном (попечителем) или об отказе в назначении нескольких опекунов с указанием причин отказа (приказ, постановление, распоряжение).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 xml:space="preserve">приказ, постановление, распоряжение.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 предоставления Услуги могут быть получены посредством почтовой связи, в органе местного самоуправления,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12 рабочих дней с даты регистрации заявления о предоставлении Услуги и документов, необходимых для предоставления Услуги. 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оснований для отказа</w:t>
      </w:r>
      <w:r>
        <w:rPr>
          <w:b/>
          <w:bCs/>
          <w:sz w:val="28"/>
          <w:szCs w:val="28"/>
          <w:lang w:eastAsia="ru-RU"/>
        </w:rPr>
        <w:br/>
        <w:t xml:space="preserve">в приеме 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Услуги,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очереди при подаче 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15 минут.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очереди при получении результата Услуги составляет 15 минут.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 местного самоуправления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Показатели доступности и качества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</w:rPr>
        <w:t xml:space="preserve">органа местного самоуправления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Информационные системы, используемые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единая система межведомственного электронного взаимодействия</w:t>
      </w:r>
      <w:r>
        <w:rPr>
          <w:rStyle w:val="afe"/>
          <w:sz w:val="28"/>
          <w:szCs w:val="28"/>
          <w:lang w:eastAsia="ru-RU"/>
        </w:rPr>
        <w:footnoteReference w:id="3"/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выдачей заключения о возможности гражданина быть опекуном (попечителем) недееспособных или не полностью дееспособных граждан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1: 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родственником, но постоянно совместно не проживал либо проживал с ним менее 10 лет на день подачи заявления;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2: Заявитель является близким родственником (родителем, бабушкой, дедушкой, братом, сестрой, детьми и внуками), выразившим желание стать опекуном или попечителем совершеннолетнего недееспособного или не полностью дееспособного гражданина, с которым указанный гражданин постоянно совместно проживал не менее 10 лет на день подачи заявления.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установлением опеки (попечительства) в отношении совершеннолетних граждан, признанных судом недееспособными либо не полностью дееспособными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3: 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родственником, но постоянно совместно не проживал либо проживал с ним менее 10 лет на день подачи заявления;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4: Заявитель является близким родственником (родителем, бабушкой, дедушкой, братом, сестрой, детьми и внуками), выразившим желание стать опекуном или попечителем совершеннолетнего недееспособного или не полностью дееспособного гражданина, с которым указанный гражданин постоянно совместно проживал не менее 10 лет на день подачи заявления.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оставления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рган местного самоуправления;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почтовой связи;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на Едином портале.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  <w:lang w:eastAsia="ru-RU"/>
        </w:rPr>
        <w:t xml:space="preserve">в общедоступном для ознакомления месте.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f4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12 рабочих дней с даты регистрации заявления и документов, необходимых для предоставления Услуги.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заключение о возможности заявителя быть опекуном (попечителем) (документ на бумажном носителе или в форме электронного документа);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заключение о невозможности заявителя быть опекуном (попечителем) (документ на бумажном носителе или в форме электронного документа).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оценка сведений о заявителе и (или) объектах, принадлежащих заявителю, и (или) иных объектах;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 xml:space="preserve">приостановление предоставления Услуги, поскольку она не предусмотрена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приказом министерства труда и социального развития Новосибирской области от 30.05.2023 № 786-НПА «Об утверждении форм документов, используемых при предоставлении государственной услуги «Учет и подбор граждан, выразивших желание стать опекунами или попечителями совершеннолетних недееспособных или не полностью дееспособных граждан»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осуществляется </w:t>
      </w:r>
      <w:r>
        <w:rPr>
          <w:sz w:val="28"/>
          <w:szCs w:val="28"/>
        </w:rPr>
        <w:t xml:space="preserve">в МФЦ, на Едином портале, посредством почтовой связи, в органе местного самоуправления.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(в зависимости от конкретной жизненной ситуации):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представление документа не требуется; в МФЦ: предъявление оригинала документа; в органе местного самоуправления: предъявление оригинала документа; на Едином портале: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 (в том числе нотариально удостоверенный перевод на русский язык);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иностранного государства, подтверждающие государственную регистрацию актов гражданского состояния, – документ (свидетельство) о заключении (расторжении) брака, выданный компетентным органом иностранного государства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органе местного самоуправления: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на Едином портале: электронный образ документа, в том числе нотариально удостоверенный перевод на русский язык);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судебные акты, – решение суда об установлении юридического факта проживания заявителя на территории Новосибирской области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краткая автобиография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</w:t>
      </w:r>
      <w:r>
        <w:rPr>
          <w:sz w:val="28"/>
          <w:szCs w:val="28"/>
        </w:rPr>
        <w:t xml:space="preserve">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прохождение медицинских обследований и (или) лечения, – медицинское заключение о состоянии здоровья по результатам медицинского освидетельствования гражданина, выразившего желание стать опекуном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Федерации, действительно в течение 3 месяцев со дня его выдачи; в органе местного самоуправления: оригинал или копия документа, заверенная в порядке, установленном законодательством Российской Федерации, действительно в течение 3 месяцев со дня его выдачи; на Едином портале: электронный образ документа, действительно в течение 3 месяцев со дня его выдачи);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членов семьи, – письменное согласие членов семьи старше 10 лет на прием опекаемого в семью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место работы с указанием должности и размера средней заработной платы за последние 12 месяцев, – справка с места работы с указанием должности и размера средней заработной платы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Федерации, принимается органом опеки и попечительства в течение года со дня выдачи; в МФЦ: оригинал или копия документа, заверенная в порядке, установленном законодательством Российской Федерации, принимается органом опеки и попечительства в течение года со дня выдачи; в органе местного самоуправления: оригинал или копия документа, заверенная в порядке, установленном законодательством Российской Федерации, принимается органом опеки и попечительства в течение года со дня выдачи; на Едином портале: электронный образ документа, принимается органом опеки и попечительства в течение года со дня выдачи).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справка о наличии (отсутствии) судимости за умышленное преступление против жизни или здоровья граждан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</w:t>
      </w:r>
      <w:r>
        <w:rPr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(отсутствие) и (или) размер доходов заявителя и членов семьи за 12 месяцев, предшествующих месяцу подачи заявления, – справка о размере пенсии (включая пенсию, доплаты, устанавливаемые к пенсии, дополнительное ежемесячное материальное обеспечение)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пользования объектом недвижимого имущества или его части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социального найма;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найма специализированного жилого помещения;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правовые основания владения и пользования заявителем жилым помещением, в котором он зарегистрирован по месту постоянного жительства;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Федерации, – свидетельство о регистрации по месту пребывания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прохождение соответствующей подготовки (курсов, занятий, уроков), – свидетельство о прохождении гражданином, выразившим желание стать опекуном, подготовки согласно Правилам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 постановлением Правительство Российской Федерации от 17.11.2010 № 927 «Об отдельных вопросах осуществления опеки и попечительства в отношении совершеннолетних недееспособных или не полностью дееспособных граждан» 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(отсутствие) и (или) размер доходов заявителя и членов семьи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организацией;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налогооблагаемых доходах от реализации имущества, а также доходах от сдачи в аренду (наем, поднаем) имущества;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доходах, полученных в результате выигрышей, выплачиваемых организаторами лотерей, тотализаторов и других основанных на риске игр;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доходах от занятия частной практикой;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 в виде процентов по вкладам (остаткам на счетах) в банках;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назначенных социальных выплатах безработному заявителю (члену его семьи)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доходах, полученных в рамках применения специального налогового режима «Налог на профессиональный доход».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местного самоуправления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направление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регистрации по месту жительства граждан РФ»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регистрации по месту пребывания граждан РФ»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Получение справки о наличии (отсутствии) судимости и (или) факта уголовного преследования либо о прекращении уголовного преследования»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Получение сведений о размере выплат за период (включая пенсию, доплаты, устанавливаемые к пенсии, социальные выплаты и выплаты по уходу)»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Социальный фонд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содержащиеся в Едином государственном реестре недвижимости относящиеся к физическим лицам»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перемены имени»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заключения/ расторжения брака»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Выгрузка информации о начислениях, о произведенных платежах и характеристиках объектов жилищного фонда»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Акционерное общество «Оператор информационной системы»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доходах физических лиц, являющихся плательщиками налога на профессиональный доход»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доходах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доходах от осуществления частной практики»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Социальный фонд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организацией»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процентах, полученных по вкладам в кредитных учреждениях»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финансов Российской Федерации»,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ФНС России»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доходах по договорам авторского заказа, об отчуждении исключительного права на результаты интеллектуальной деятельности»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налогооблагаемых доходах от реализации имущества, а также доходах от сдачи в аренду (наем, поднаем) имущества»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доходах, полученных в результате выигрышей, выплачиваемых организаторами лотерей, тотализаторов и других основанных на риске игр»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обследования условий жизни заявителя.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Процедуре оценки подлежат условия жизни заявителя, а предметом оценки является соответствие жилищно-бытовых условий, личных качеств и мотивов заявителя для выполнения обязанностей опекуна. 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прием документов, необходимых для предоставления Услуги, и внесение соответствующей записи в журнал учета граждан, выразивших желание стать опекунами или попечителями совершеннолетних недееспособных или не полностью дееспособных граждан, по форме, утвержденной приказом Министерства здравоохранения и социального развития Российской Федерации от 08.08.2011 № 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</w:t>
      </w:r>
      <w:r>
        <w:rPr>
          <w:sz w:val="28"/>
          <w:szCs w:val="28"/>
        </w:rPr>
        <w:t xml:space="preserve">17.11.2010 № 927», в день приема документов, необходимых для предоставления государственной услуги.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Результаты обследования и основанный на них вывод о возможности гражданина быть опекуном (попечителем) указываются в акте обследования условий жизни гражданина, выразившего желание стать опекуном или попечителем совершеннолетнего недееспособного или не полностью дееспособного гражданина (далее – акт обследования условий жизни гражданина), по форме, утвержденной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Акт обследования условий жизни гражданина оформляется в течение 2 рабочих дней со дня проведения обследования условий жизни заявителя, подписывается проводившим проверку специалистом и утверждается руководителем органа местного самоуправления.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Акт обследования условий жизни гражданина оформляется в 2 экземплярах, один из которых направляется заявителю в течение 2 рабочих дней со дня утверждения акта обследования, второй хранится в органе местного самоуправления.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Акт обследования условий жизни гражданина может быть оспорен гражданином, выразившим желание стать опекуном (попечителем), в судебном порядке.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рамках процедуры оценки заявитель представляет</w:t>
      </w:r>
      <w:r>
        <w:rPr>
          <w:sz w:val="28"/>
          <w:szCs w:val="28"/>
        </w:rPr>
        <w:t xml:space="preserve">, – документы, удостоверяющие личность заявителя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представление документа не требуется; в МФЦ: предъявление оригинала документа; в органе местного самоуправления: предъявление оригинала документа; на Едином портале: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 xml:space="preserve">6 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 «</w:t>
      </w: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eastAsia="ru-RU"/>
        </w:rPr>
        <w:t xml:space="preserve">».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в документах недостоверной или неполной информации;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или представление не в полном объеме документов, которые необходимо предоставить самостоятельно;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заявитель не является совершеннолетним дееспособным гражданином либо является гражданином, лишенным родительских прав, либо имеющим на момент установления опеки или попечительства судимость за умышленное преступление против жизни или здоровья граждан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3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 xml:space="preserve"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связи, в органе местного самоуправления, 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заключение о возможности заявителя быть опекуном (попечителем);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связи, в органе местного самоуправления, 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заключение о невозможности заявителя быть опекуном (попечителем).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f4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12 рабочих дней с даты регистрации заявления и документов, необходимых для предоставления Услуги.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заключение о возможности заявителя быть опекуном (попечителем) (документ на бумажном носителе или в форме электронного документа);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заключение о невозможности заявителя быть опекуном (попечителем) (документ на бумажном носителе или в форме электронного документа).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оценка сведений о заявителе и (или) объектах, принадлежащих заявителю, и (или) иных объектах;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 xml:space="preserve">приостановление предоставления Услуги, поскольку она не предусмотрена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приказом министерства труда и социального развития Новосибирской области от 30.05.2023 № 786-НПА «Об утверждении форм документов, используемых при предоставлении государственной услуги «Учет и подбор граждан, выразивших желание стать опекунами или попечителями совершеннолетних недееспособных или не полностью дееспособных граждан»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МФЦ, на Едином портале, посредством почтовой связи, в органе местного самоуправления.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(в зависимости от конкретной жизненной ситуации):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представление документа не требуется; в МФЦ: предъявление оригинала документа; в органе местного самоуправления: предъявление оригинала документа; на Едином портале: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 (в том числе нотариально удостоверенный перевод на русский язык);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иностранного государства, подтверждающие государственную регистрацию актов гражданского состояния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оригинал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органе местного самоуправления: оригинал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на Едином портале: электронный образ документа, в том числе нотариально удостоверенный перевод на русский язык)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 (свидетельство) о заключении (расторжении) брака, выданный компетентным органом иностранного государства;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 (свидетельство) о рождении, выданный компетентным органом иностранного государства;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судебные акты, – решение суда об установлении юридического факта проживания заявителя на территории Новосибирской области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справка о наличии (отсутствии) судимости за умышленное преступление против жизни или здоровья граждан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(отсутствие) и (или) размер доходов заявителя и членов семьи за 12 месяцев, предшествующих месяцу подачи заявления, – справка о размере пенсии (включая пенсию, доплаты, устанавливаемые к пенсии, дополнительное ежемесячное материальное обеспечение)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пользования объектом недвижимого имущества или его части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социального найма;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найма специализированного жилого помещения;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правовые основания владения и пользования заявителем жилым помещением, в котором он зарегистрирован по месту постоянного жительства;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Федерации, – свидетельство о регистрации по месту пребывания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рождении;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выдаваемые органами опеки и попечительства, – 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 (представление документа не требуется).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местного самоуправления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направление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регистрации по месту жительства граждан РФ»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регистрации по месту пребывания граждан РФ»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>
        <w:rPr>
          <w:sz w:val="28"/>
          <w:szCs w:val="28"/>
        </w:rPr>
        <w:t xml:space="preserve">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Получение справки о наличии (отсутствии) судимости и (или) факта уголовного преследования либо о прекращении уголовного преследования»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Получение сведений о размере выплат за период (включая пенсию, доплаты, устанавливаемые к пенсии, социальные выплаты и выплаты по уходу)»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Социальный фонд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содержащиеся в Едином государственном реестре недвижимости относящиеся к физическим лицам»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перемены имени»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заключения/ расторжения брака»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Выгрузка информации о начислениях, о произведенных платежах и характеристиках объектов жилищного фонда»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Акционерное общество «Оператор информационной системы»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</w:t>
      </w:r>
      <w:r>
        <w:rPr>
          <w:sz w:val="28"/>
          <w:szCs w:val="28"/>
        </w:rPr>
        <w:t xml:space="preserve">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муниципального района»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– проведение обследования условий жизни заявителя.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Процедуре оценки подлежат условия жизни заявителя, а предметом оценки является соответствие жилищно-бытовых условий, личных качеств и мотивов заявителя для выполнения обязанностей опекуна.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прием документов, необходимых для предоставления Услуги, и внесение соответствующей записи в журнал учета граждан, выразивших желание стать опекунами или попечителями совершеннолетних недееспособных или не полностью дееспособных граждан (далее – журнал учета граждан), по форме, утвержденной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927», в день приема документов, необходимых для предоставления государственной услуги.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обследования и основанный на них вывод о возможности гражданина быть опекуном (попечителем) указываются в акте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 (далее – акт об обследовании условий жизни близкого родственника), по форме, утвержденной приказом Министерства труда и социальной защиты Российской Федерации от 09.03.2017 № 250н «Об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гражданина».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обследовании условий жизни близкого родственника оформляется в течение 2 рабочих дней со дня проведения обследования условий жизни заявителя, </w:t>
      </w:r>
      <w:r>
        <w:rPr>
          <w:sz w:val="28"/>
          <w:szCs w:val="28"/>
        </w:rPr>
        <w:t xml:space="preserve">подписывается проводившим проверку специалистом и утверждается руководителем органа местного самоуправления. В случае назначения нескольких опекунов акт об обследовании условий жизни близкого родственника оформляется для каждого гражданина, выразившего желание стать опекуном.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обследовании условий жизни близкого родственника оформляется в 2 экземплярах, один из которых направляется заявителю в течение 2 рабочих дней со дня утверждения акта обследования, второй хранится в органе местного самоуправления.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обследовании условий жизни близкого родственника может быть оспорен близким родственником, выразившим желание стать опекуном (попечителем), в судебном порядке.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рамках процедуры оценки заявитель представляет</w:t>
      </w:r>
      <w:r>
        <w:rPr>
          <w:sz w:val="28"/>
          <w:szCs w:val="28"/>
        </w:rPr>
        <w:t xml:space="preserve">, – документы, удостоверяющие личность заявителя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представление документа не требуется; в МФЦ: предъявление оригинала документа; в органе местного самоуправления: предъявление оригинала документа; на Едином портале: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 xml:space="preserve">6 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 «</w:t>
      </w: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eastAsia="ru-RU"/>
        </w:rPr>
        <w:t xml:space="preserve">».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в документах недостоверной или неполной информации;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или представление не в полном объеме документов, которые необходимо предоставить самостоятельно;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заявитель не является совершеннолетним дееспособным гражданином либо является гражданином, лишенным родительских прав, либо имеющим на момент установления опеки или попечительства судимость за умышленное преступление против жизни или здоровья граждан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3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 xml:space="preserve"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связи, в органе местного самоуправления, 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заключение о возможности заявителя быть опекуном (попечителем);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связи, в органе местного самоуправления, 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заключение о невозможности заявителя быть опекуном (попечителем).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f4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12 рабочих дней с даты регистрации заявления и документов, необходимых для предоставления Услуги.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акт органа опеки и попечительства о назначении опекуном (попечителем) или о назначении нескольких опекунов (приказ, постановление, распоряжение);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акт органа опеки и попечительства об отказе в назначении опекуном (попечителем) или об отказе в назначении нескольких опекунов с указанием причин отказа (приказ, постановление, распоряжение).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Услуги, является приказ, постановление, распоряжение.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оценка сведений о заявителе и (или) объектах, принадлежащих заявителю, и (или) иных объектах;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 xml:space="preserve">приостановление предоставления Услуги, поскольку она не предусмотрена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приказом министерства труда и социального развития Новосибирской области от 30.05.2023 № 786-НПА «Об утверждении форм документов, используемых при предоставлении государственной услуги «Учет и подбор граждан, выразивших желание стать опекунами или попечителями </w:t>
      </w:r>
      <w:r>
        <w:rPr>
          <w:sz w:val="28"/>
          <w:szCs w:val="28"/>
        </w:rPr>
        <w:t xml:space="preserve">совершеннолетних недееспособных или не полностью дееспособных граждан»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МФЦ, на Едином портале, в органе местного самоуправления, посредством почтовой связи.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(в зависимости от конкретной жизненной ситуации):</w:t>
      </w:r>
    </w:p>
    <w:p>
      <w:pPr>
        <w:numPr>
          <w:numId w:val="33"/>
          <w:ilvl w:val="1"/>
        </w:numPr>
        <w:tabs>
          <w:tab w:val="clear" w:pos="1304"/>
          <w:tab w:val="left" w:pos="1276"/>
        </w:tabs>
        <w:spacing w:after="160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представление документа не требуется; в МФЦ: предъявление оригинала документа; в органе местного самоуправления: предъявление оригинала документа; на Едином портале: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 (в том числе нотариально удостоверенный перевод на русский язык);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иностранного государства, подтверждающие государственную регистрацию актов гражданского состояния, – документ (свидетельство) о заключении (расторжении) брака, выданный компетентным органом иностранного государства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органе местного самоуправления: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на Едином портале: электронный образ документа, в том числе нотариально удостоверенный перевод на русский язык);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судебные акты, – решение суда об установлении юридического факта проживания заявителя на территории Новосибирской области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краткая автобиография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</w:t>
      </w:r>
      <w:r>
        <w:rPr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прохождение медицинских обследований и (или) лечения, – медицинское заключение о состоянии здоровья по результатам медицинского освидетельствования гражданина, выразившего желание стать опекуном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Федерации, действительно в течение 3 месяцев со дня его выдачи; в органе местного самоуправления: оригинал или копия документа, заверенная в порядке, установленном законодательством Российской Федерации, действительно в течение 3 месяцев со дня его выдачи; на Едином портале: электронный образ документа, действительно в течение 3 месяцев со дня его выдачи);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членов семьи, – письменное согласие членов семьи старше 10 лет на прием опекаемого в семью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место работы с указанием должности и размера средней заработной платы за последние 12 месяцев, – справка с места работы с указанием должности и размера средней заработной платы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Федерации, принимается органом опеки и попечительства в течение года со дня выдачи; в МФЦ: оригинал или копия документа, заверенная в порядке, установленном законодательством Российской Федерации, принимается органом опеки и попечительства в течение года со дня выдачи; в органе местного самоуправления: оригинал или копия документа, заверенная в порядке, установленном законодательством Российской Федерации, принимается органом опеки и попечительства в течение года со дня выдачи; на Едином портале: электронный образ документа, принимается органом опеки и попечительства в течение года со дня выдачи).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numPr>
          <w:numId w:val="33"/>
          <w:ilvl w:val="1"/>
        </w:numPr>
        <w:tabs>
          <w:tab w:val="clear" w:pos="1304"/>
          <w:tab w:val="left" w:pos="709"/>
          <w:tab w:val="num" w:pos="1134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справка о наличии (отсутствии) судимости за умышленное преступление против жизни или здоровья граждан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</w:t>
      </w:r>
      <w:r>
        <w:rPr>
          <w:sz w:val="28"/>
          <w:szCs w:val="28"/>
        </w:rPr>
        <w:t xml:space="preserve">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(отсутствие) и (или) размер доходов заявителя и членов семьи за 12 месяцев, предшествующих месяцу подачи заявления, – справка о размере пенсии (включая пенсию, доплаты, устанавливаемые к пенсии, дополнительное ежемесячное материальное обеспечение)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пользования объектом недвижимого имущества или его части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социального найма;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найма специализированного жилого помещения;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правовые основания владения и пользования заявителем жилым помещением, в котором он зарегистрирован по месту постоянного жительства;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Федерации, – свидетельство о регистрации по месту пребывания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прохождение соответствующей подготовки (курсов, занятий, уроков), – свидетельство о прохождении гражданином, выразившим желание стать опекуном, подготовки согласно Правилам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 постановлением Правительство Российской Федерации от 17.11.2010 № 927 «Об отдельных вопросах осуществления опеки и попечительства в отношении совершеннолетних недееспособных или не полностью дееспособных граждан» 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(отсутствие) и (или) размер доходов заявителя и членов семьи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организацией;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налогооблагаемых доходах от реализации имущества, а также доходах от сдачи в аренду (наем, поднаем) имущества;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доходах, полученных в результате выигрышей, выплачиваемых организаторами лотерей, тотализаторов и других основанных на риске игр;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доходах от занятия частной практикой;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 в виде процентов по вкладам (остаткам на счетах) в банках;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назначенных социальных выплатах безработному заявителю (члену его семьи);</w:t>
      </w:r>
    </w:p>
    <w:p>
      <w:pPr>
        <w:tabs>
          <w:tab w:val="left" w:pos="85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доходах, полученных в рамках применения специального налогового режима «Налог на профессиональный доход».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 xml:space="preserve"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 xml:space="preserve">указанным способом.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направление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регистрации по месту жительства граждан РФ»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регистрации по месту пребывания граждан РФ»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Получение справки о наличии (отсутствии) судимости и (или) факта уголовного преследования либо о прекращении уголовного преследования»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Получение сведений о размере выплат за период (включая пенсию, доплаты, устанавливаемые к пенсии, социальные выплаты и выплаты по уходу)»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Социальный фонд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содержащиеся в Едином государственном реестре недвижимости относящиеся к физическим лицам»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</w:t>
      </w:r>
      <w:r>
        <w:rPr>
          <w:sz w:val="28"/>
          <w:szCs w:val="28"/>
        </w:rPr>
        <w:t xml:space="preserve">перемены имени»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заключения/ расторжения брака»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Выгрузка информации о начислениях, о произведенных платежах и характеристиках объектов жилищного фонда»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Акционерное общество «Оператор информационной системы»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доходах физических лиц, являющихся плательщиками налога на профессиональный доход»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доходах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доходах от осуществления частной практики»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суммах выплат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Социальный фонд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организацией»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процентах, полученных по вкладам в кредитных учреждениях»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финансов Российской Федерации»,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ФНС России»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доходах по договорам авторского заказа, об отчуждении исключительного права на результаты интеллектуальной деятельности»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налогооблагаемых доходах от реализации имущества, а также доходах от сдачи в аренду (наем, поднаем) имущества»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доходах, полученных в результате выигрышей, выплачиваемых организаторами лотерей, тотализаторов и других основанных на риске игр»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обследования условий жизни заявителя.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Процедуре оценки подлежат условия жизни заявителя, а предметом оценки является соответствие жилищно-бытовых условий, личных качеств и мотивов заявителя для выполнения обязанностей опекуна. 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прием документов, необходимых для предоставления Услуги, и внесение соответствующей записи в журнал учета граждан, выразивших желание стать опекунами или попечителями совершеннолетних недееспособных или не полностью дееспособных граждан, по форме, утвержденной приказом Министерства здравоохранения и социального развития Российской Федерации от 08.08.2011 № 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927», в день приема документов, необходимых для предоставления государственной услуги.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Результаты обследования и основанный на них вывод о возможности гражданина быть опекуном (попечителем) указываются в акте обследования условий жизни гражданина, выразившего желание стать опекуном или </w:t>
      </w:r>
      <w:r>
        <w:rPr>
          <w:sz w:val="28"/>
          <w:szCs w:val="28"/>
          <w:lang w:eastAsia="ru-RU"/>
        </w:rPr>
        <w:t xml:space="preserve">попечителем совершеннолетнего недееспособного или не полностью дееспособного гражданина (далее – акт обследования условий жизни гражданина), по форме, утвержденной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Акт обследования условий жизни гражданина оформляется в течение 2 рабочих дней со дня проведения обследования условий жизни заявителя, подписывается проводившим проверку специалистом и утверждается руководителем органа местного самоуправления.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Акт обследования условий жизни гражданина оформляется в 2 экземплярах, один из которых направляется заявителю в течение 2 рабочих дней со дня утверждения акта обследования, второй хранится в органе местного самоуправления.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Акт обследования условий жизни гражданина может быть оспорен гражданином, выразившим желание стать опекуном (попечителем), в судебном порядке.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рамках процедуры оценки заявитель представляет</w:t>
      </w:r>
      <w:r>
        <w:rPr>
          <w:sz w:val="28"/>
          <w:szCs w:val="28"/>
        </w:rPr>
        <w:t xml:space="preserve">, – документы, удостоверяющие личность заявителя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представление документа не требуется; в МФЦ: предъявление оригинала документа; в органе местного самоуправления: предъявление оригинала документа; на Едином портале: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 xml:space="preserve">6 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 «</w:t>
      </w: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eastAsia="ru-RU"/>
        </w:rPr>
        <w:t xml:space="preserve">».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в документах недостоверной или неполной информации;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или представление не в полном объеме документов, которые необходимо предоставить самостоятельно;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заявитель не является совершеннолетним дееспособным гражданином либо является гражданином, лишенным родительских прав, либо имеющим на момент установления опеки или попечительства судимость за умышленное преступление против жизни или здоровья граждан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 xml:space="preserve"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связи, в органе местного самоуправления, 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акт органа опеки и попечительства о назначении опекуном (попечителем) или о назначении нескольких опекунов;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связи, в органе местного самоуправления, 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акт органа опеки и попечительства об отказе в назначении опекуном (попечителем) или об отказе в назначении нескольких опекунов с указанием причин отказа.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f4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12 рабочих дней с даты регистрации заявления и документов, необходимых для предоставления Услуги.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акт органа опеки и попечительства о назначении опекуном (попечителем) или о назначении нескольких опекунов (приказ, постановление, распоряжение);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акт органа опеки и попечительства об отказе в назначении опекуном (попечителем) или об отказе в назначении нескольких опекунов с указанием причин отказа (приказ, постановление, распоряжение).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Услуги, является приказ, постановление, распоряжение.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оценка сведений о заявителе и (или) объектах, принадлежащих заявителю, и (или) иных объектах;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 xml:space="preserve">приостановление предоставления Услуги, поскольку она не предусмотрена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приказом министерства труда и социального развития Новосибирской области от 30.05.2023 № 786-НПА «Об утверждении форм документов, используемых при предоставлении государственной услуги «Учет и подбор граждан, выразивших желание стать опекунами или попечителями совершеннолетних недееспособных или не полностью дееспособных граждан»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МФЦ, на Едином портале, в органе местного самоуправления, посредством почтовой связи.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(в зависимости от конкретной жизненной ситуации):</w:t>
      </w:r>
    </w:p>
    <w:p>
      <w:pPr>
        <w:numPr>
          <w:numId w:val="33"/>
          <w:ilvl w:val="1"/>
        </w:numPr>
        <w:tabs>
          <w:tab w:val="clear" w:pos="1304"/>
          <w:tab w:val="num" w:pos="851"/>
          <w:tab w:val="left" w:pos="1276"/>
        </w:tabs>
        <w:spacing w:after="160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представление документа не требуется; в МФЦ: предъявление оригинала документа; в органе местного самоуправления: предъявление оригинала документа; на Едином портале: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 (в том числе нотариально удостоверенный перевод на русский язык);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иностранного государства, подтверждающие государственную регистрацию актов гражданского состояния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оригинал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органе местного самоуправления: оригинал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на Едином портале: электронный образ документа, в том числе нотариально удостоверенный перевод на русский язык)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 (свидетельство) о заключении (расторжении) брака, выданный компетентным органом иностранного государства;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 (свидетельство) о рождении, выданный компетентным органом иностранного государства;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судебные акты, – решение суда об установлении юридического факта проживания заявителя на территории Новосибирской области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numPr>
          <w:numId w:val="33"/>
          <w:ilvl w:val="1"/>
        </w:numPr>
        <w:tabs>
          <w:tab w:val="clear" w:pos="1304"/>
          <w:tab w:val="num" w:pos="85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справка о наличии (отсутствии) судимости за умышленное преступление против жизни или здоровья граждан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(отсутствие) и (или) размер доходов заявителя и членов семьи за 12 месяцев, предшествующих месяцу подачи заявления, – справка о размере пенсии (включая пенсию, доплаты, устанавливаемые к пенсии, дополнительное ежемесячное материальное обеспечение)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пользования объектом недвижимого имущества или его части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социального найма;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найма специализированного жилого помещения;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правовые основания владения и пользования заявителем жилым помещением, в котором он зарегистрирован по месту постоянного жительства;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Федерации, – свидетельство о регистрации по месту пребывания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Федерации; на Едином портале: электронный образ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рождении;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выдаваемые органами опеки и попечительства, – 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 (представление документа не требуется).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 xml:space="preserve"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 xml:space="preserve">указанным способом.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направление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регистрации по месту жительства граждан РФ»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регистрации по месту пребывания граждан РФ»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Получение справки о наличии (отсутствии) судимости и (или) факта уголовного преследования либо о прекращении уголовного преследования»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Получение сведений о размере выплат за период (включая пенсию, доплаты, устанавливаемые к пенсии, социальные выплаты и выплаты по уходу)»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Социальный фонд Российской Федерации»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содержащиеся в Едином государственном реестре недвижимости относящиеся к физическим лицам»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перемены имени»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заключения/ расторжения брака»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Выгрузка информации о начислениях, о произведенных платежах и характеристиках объектов жилищного фонда»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Акционерное общество «Оператор информационной системы»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</w:t>
      </w:r>
      <w:r>
        <w:rPr>
          <w:sz w:val="28"/>
          <w:szCs w:val="28"/>
        </w:rPr>
        <w:t xml:space="preserve">попечительство устанавливаются в связи с достижением совершеннолетия»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органы опеки и попечительства»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5 рабочих дней с даты направления межведомственного запроса.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– проведение обследования условий жизни заявителя.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Процедуре оценки подлежат условия жизни заявителя, а предметом оценки является соответствие жилищно-бытовых условий, личных качеств и мотивов заявителя для выполнения обязанностей опекуна.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прием документов, необходимых для предоставления Услуги, и внесение соответствующей записи в журнал учета граждан, выразивших желание стать опекунами или попечителями совершеннолетних недееспособных или не полностью дееспособных граждан (далее – журнал учета граждан), по форме, утвержденной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927», в день приема документов, необходимых для предоставления государственной услуги.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обследования и основанный на них вывод о возможности гражданина быть опекуном (попечителем) указываются в акте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 (далее – акт об обследовании условий жизни близкого родственника), по форме, утвержденной приказом Министерства труда и социальной защиты Российской Федерации от 09.03.2017 № 250н «Об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гражданина».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обследовании условий жизни близкого родственника оформляется в течение 2 рабочих дней со дня проведения обследования условий жизни заявителя, подписывается проводившим проверку специалистом и утверждается руководителем органа местного самоуправления. В случае назначения нескольких опекунов акт об обследовании условий жизни близкого родственника оформляется для каждого гражданина, выразившего желание стать опекуном.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обследовании условий жизни близкого родственника оформляется в 2 экземплярах, один из которых направляется заявителю в течение 2 рабочих дней со дня утверждения акта обследования, второй хранится в органе местного самоуправления.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обследовании условий жизни близкого родственника может быть оспорен близким родственником, выразившим желание стать опекуном (попечителем), в судебном порядке.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рамках процедуры оценки заявитель представляет</w:t>
      </w:r>
      <w:r>
        <w:rPr>
          <w:sz w:val="28"/>
          <w:szCs w:val="28"/>
        </w:rPr>
        <w:t xml:space="preserve">, – документы, удостоверяющие личность заявителя (при подаче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почтовой связи: представление документа не требуется; в МФЦ: предъявление оригинала документа; в органе местного самоуправления: предъявление оригинала документа; на Едином портале: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 xml:space="preserve">6 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 «</w:t>
      </w: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eastAsia="ru-RU"/>
        </w:rPr>
        <w:t xml:space="preserve">».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в документах недостоверной или неполной информации;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или представление не в полном объеме документов, которые необходимо предоставить самостоятельно;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заявитель не является совершеннолетним дееспособным гражданином либо является гражданином, лишенным родительских прав, либо имеющим на момент установления опеки или попечительства судимость за умышленное преступление против жизни или здоровья граждан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 xml:space="preserve"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связи, в органе местного самоуправления, 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акт органа опеки и попечительства о назначении опекуном (попечителем) или о назначении нескольких опекунов;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связи, в органе местного самоуправления, на Едином портале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акт органа опеки и попечительства об отказе в назначении опекуном (попечителем) или об отказе в назначении нескольких опекунов с указанием причин отказа.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Административного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  <w:szCs w:val="28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  <w:t xml:space="preserve"> выявления и устранения нарушений прав заявителей, рассмотрение, принятия решений и подготовку ответов на обращения заявителей, содержащих жалобы на действия (бездействие) должностных лиц управления</w:t>
      </w:r>
      <w:r>
        <w:rPr>
          <w:sz w:val="28"/>
          <w:szCs w:val="28"/>
          <w:lang w:eastAsia="ru-RU"/>
        </w:rPr>
        <w:t xml:space="preserve">.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на основании </w:t>
      </w:r>
      <w:r>
        <w:rPr>
          <w:sz w:val="28"/>
          <w:szCs w:val="28"/>
        </w:rPr>
        <w:t xml:space="preserve">информации от граждан, юридических лиц, органов государственной власти или местного самоуправления о соответствующих нарушениях </w:t>
      </w:r>
      <w:r>
        <w:rPr>
          <w:sz w:val="28"/>
          <w:szCs w:val="28"/>
          <w:lang w:eastAsia="ru-RU"/>
        </w:rPr>
        <w:t xml:space="preserve">по решению лиц, ответственных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 xml:space="preserve">органа местного самоуправления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 xml:space="preserve">на Едином портале, на информационных стендах в местах предоставления Услуги, в МФЦ, на официальном сайте органа местного самоуправления в сети «Интернет»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 xml:space="preserve">посредством Единого портала, через портал Федеральной государственной информационной системы «Досудебное обжалование» http://do.gosuslugi.ru, на официальном сайте МФЦ, посредством официального сайта органа местного самоуправления в сети «Интернет».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 xml:space="preserve">путем направления почтового отправления, в МФЦ, в орган местного самоуправления, в органе местного самоуправления при личном обращении.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f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f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приказом министерства труда и социального развития Новосибирской области </w:t>
      </w:r>
    </w:p>
    <w:p>
      <w:pPr>
        <w:pStyle w:val="aff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№ _________</w:t>
      </w:r>
    </w:p>
    <w:p>
      <w:pPr>
        <w:pStyle w:val="aff"/>
        <w:ind w:left="5670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 варианту предоставления Услуги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Выдача заключения о возможности гражданина быть опекуном (попечителем) недееспособных или не полностью дееспособных граждан»</w:t>
            </w:r>
          </w:p>
        </w:tc>
      </w:tr>
      <w:tr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auto" w:fill="auto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родственником, но постоянно совместно не проживал либо проживал с ним менее 10 лет на день подачи заявления</w:t>
            </w:r>
          </w:p>
        </w:tc>
      </w:tr>
      <w:tr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auto" w:fill="auto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Заявитель является близким родственником (родителем, бабушкой, дедушкой, братом, сестрой, детьми и внуками), выразившим желание стать опекуном или попечителем совершеннолетнего недееспособного или не полностью дееспособного гражданина, с которым указанный гражданин постоянно совместно проживал не менее 10 лет на день подачи заявления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Установление опеки (попечительства) в отношении совершеннолетних граждан, признанных судом недееспособными либо не полностью дееспособными»</w:t>
            </w:r>
          </w:p>
        </w:tc>
      </w:tr>
      <w:tr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auto" w:fill="auto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родственником, но постоянно совместно не проживал либо проживал с ним менее 10 лет на день подачи заявления</w:t>
            </w:r>
          </w:p>
        </w:tc>
      </w:tr>
      <w:tr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auto" w:fill="auto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Заявитель является близким родственником (родителем, бабушкой, дедушкой, братом, сестрой, детьми и внуками), выразившим желание стать опекуном или попечителем совершеннолетнего недееспособного или не полностью дееспособного гражданина, с которым указанный гражданин постоянно совместно проживал не менее 10 лет на день подачи заявления</w:t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Выдача заключения о возможности гражданина быть опекуном (попечителем) недееспособных или не полностью дееспособных граждан»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К какой категории относится совершеннолетний дееспособный гражданин, выразивший желание стать опекуном или попечителем совершеннолетнего недееспособного или не полностью дееспособного гражданина?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1. 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родственником, но постоянно совместно не проживал либо проживал с ним менее 10 лет на день подачи заявления.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2. Заявитель является близким родственником (родителем, бабушкой, дедушкой, братом, сестрой, детьми и внуками), выразившим желание стать опекуном или попечителем совершеннолетнего недееспособного или не полностью дееспособного гражданина, с которым указанный гражданин </w:t>
            </w:r>
            <w:r>
              <w:rPr>
                <w:szCs w:val="20"/>
              </w:rPr>
              <w:t xml:space="preserve">постоянно совместно проживал не менее 10 лет на день подачи заявления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Установление опеки (попечительства) в отношении совершеннолетних граждан, признанных судом недееспособными либо не полностью дееспособными»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К какой категории относится совершеннолетний дееспособный гражданин, выразивший желание стать опекуном или попечителем совершеннолетнего недееспособного или не полностью дееспособного гражданина?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1. 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родственником, но постоянно совместно не проживал либо проживал с ним менее 10 лет на день подачи заявления.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2. Заявитель является близким родственником (родителем, бабушкой, дедушкой, братом, сестрой, детьми и внуками), выразившим желание стать опекуном или попечителем совершеннолетнего недееспособного или не полностью дееспособного гражданина, с которым указанный гражданин постоянно совместно проживал не менее 10 лет на день подачи заявления</w:t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>
      <w:pPr>
        <w:spacing w:after="160" w:line="259" w:lineRule="auto"/>
        <w:ind w:left="6237"/>
        <w:jc w:val="both"/>
        <w:rPr>
          <w:sz w:val="28"/>
          <w:szCs w:val="28"/>
        </w:rPr>
      </w:pPr>
    </w:p>
    <w:sectPr>
      <w:headerReference w:type="default" r:id="rId9"/>
      <w:headerReference w:type="first" r:id="rId10"/>
      <w:pgSz w:w="11906" w:h="16838"/>
      <w:pgMar w:top="1134" w:right="624" w:bottom="851" w:left="1361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>
      <w:pPr>
        <w:jc w:val="both"/>
        <w:rPr>
          <w:szCs w:val="20"/>
        </w:rPr>
      </w:pPr>
      <w:r>
        <w:rPr>
          <w:rStyle w:val="afe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63212966"/>
      <w:docPartObj>
        <w:docPartGallery w:val="Page Numbers (Top of Page)"/>
        <w:docPartUnique w:val="true"/>
      </w:docPartObj>
    </w:sdtPr>
    <w:sdtContent>
      <w:p>
        <w:pPr>
          <w:pStyle w:val="af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</w:p>
    </w:sdtContent>
  </w:sdt>
  <w:p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5"/>
      <w:jc w:val="center"/>
    </w:pPr>
  </w:p>
  <w:p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2A1A981A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89088A0C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54ACA34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078E27E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2B0EEE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B56EEC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3AE361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D4E60E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0003CE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multiLevelType w:val="hybridMultilevel"/>
    <w:lvl w:ilvl="0" w:tplc="62E6A69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5B4E5BB6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 w:tplc="ABE03314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E12020A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1772DA0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A96AC3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15E028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89CE9A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F86F78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F21A98D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plc="118EEEB6">
      <w:start w:val="1"/>
      <w:numFmt w:val="lowerLetter"/>
      <w:lvlText w:val="%2."/>
      <w:lvlJc w:val="left"/>
      <w:pPr>
        <w:ind w:left="1789" w:hanging="360"/>
      </w:pPr>
    </w:lvl>
    <w:lvl w:ilvl="2" w:tplc="48DCA662">
      <w:start w:val="1"/>
      <w:numFmt w:val="lowerRoman"/>
      <w:lvlText w:val="%3."/>
      <w:lvlJc w:val="right"/>
      <w:pPr>
        <w:ind w:left="2509" w:hanging="180"/>
      </w:pPr>
    </w:lvl>
    <w:lvl w:ilvl="3" w:tplc="94ECAB4C">
      <w:start w:val="1"/>
      <w:numFmt w:val="decimal"/>
      <w:lvlText w:val="%4."/>
      <w:lvlJc w:val="left"/>
      <w:pPr>
        <w:ind w:left="3229" w:hanging="360"/>
      </w:pPr>
    </w:lvl>
    <w:lvl w:ilvl="4" w:tplc="1E54DA6C">
      <w:start w:val="1"/>
      <w:numFmt w:val="lowerLetter"/>
      <w:lvlText w:val="%5."/>
      <w:lvlJc w:val="left"/>
      <w:pPr>
        <w:ind w:left="3949" w:hanging="360"/>
      </w:pPr>
    </w:lvl>
    <w:lvl w:ilvl="5" w:tplc="FCB2C5F4">
      <w:start w:val="1"/>
      <w:numFmt w:val="lowerRoman"/>
      <w:lvlText w:val="%6."/>
      <w:lvlJc w:val="right"/>
      <w:pPr>
        <w:ind w:left="4669" w:hanging="180"/>
      </w:pPr>
    </w:lvl>
    <w:lvl w:ilvl="6" w:tplc="A1A260FE">
      <w:start w:val="1"/>
      <w:numFmt w:val="decimal"/>
      <w:lvlText w:val="%7."/>
      <w:lvlJc w:val="left"/>
      <w:pPr>
        <w:ind w:left="5389" w:hanging="360"/>
      </w:pPr>
    </w:lvl>
    <w:lvl w:ilvl="7" w:tplc="6624DB20">
      <w:start w:val="1"/>
      <w:numFmt w:val="lowerLetter"/>
      <w:lvlText w:val="%8."/>
      <w:lvlJc w:val="left"/>
      <w:pPr>
        <w:ind w:left="6109" w:hanging="360"/>
      </w:pPr>
    </w:lvl>
    <w:lvl w:ilvl="8" w:tplc="107E273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8FC2910E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33F256D6">
      <w:start w:val="1"/>
      <w:numFmt w:val="lowerLetter"/>
      <w:lvlText w:val="%2."/>
      <w:lvlJc w:val="left"/>
      <w:pPr>
        <w:ind w:left="1440" w:hanging="360"/>
      </w:pPr>
    </w:lvl>
    <w:lvl w:ilvl="2" w:tplc="E604AB7A">
      <w:start w:val="1"/>
      <w:numFmt w:val="lowerRoman"/>
      <w:lvlText w:val="%3."/>
      <w:lvlJc w:val="right"/>
      <w:pPr>
        <w:ind w:left="2160" w:hanging="180"/>
      </w:pPr>
    </w:lvl>
    <w:lvl w:ilvl="3" w:tplc="18C0BE4C">
      <w:start w:val="1"/>
      <w:numFmt w:val="decimal"/>
      <w:lvlText w:val="%4."/>
      <w:lvlJc w:val="left"/>
      <w:pPr>
        <w:ind w:left="2880" w:hanging="360"/>
      </w:pPr>
    </w:lvl>
    <w:lvl w:ilvl="4" w:tplc="04A6C8A6">
      <w:start w:val="1"/>
      <w:numFmt w:val="lowerLetter"/>
      <w:lvlText w:val="%5."/>
      <w:lvlJc w:val="left"/>
      <w:pPr>
        <w:ind w:left="3600" w:hanging="360"/>
      </w:pPr>
    </w:lvl>
    <w:lvl w:ilvl="5" w:tplc="39641E66">
      <w:start w:val="1"/>
      <w:numFmt w:val="lowerRoman"/>
      <w:lvlText w:val="%6."/>
      <w:lvlJc w:val="right"/>
      <w:pPr>
        <w:ind w:left="4320" w:hanging="180"/>
      </w:pPr>
    </w:lvl>
    <w:lvl w:ilvl="6" w:tplc="A63265BC">
      <w:start w:val="1"/>
      <w:numFmt w:val="decimal"/>
      <w:lvlText w:val="%7."/>
      <w:lvlJc w:val="left"/>
      <w:pPr>
        <w:ind w:left="5040" w:hanging="360"/>
      </w:pPr>
    </w:lvl>
    <w:lvl w:ilvl="7" w:tplc="7A22E7BE">
      <w:start w:val="1"/>
      <w:numFmt w:val="lowerLetter"/>
      <w:lvlText w:val="%8."/>
      <w:lvlJc w:val="left"/>
      <w:pPr>
        <w:ind w:left="5760" w:hanging="360"/>
      </w:pPr>
    </w:lvl>
    <w:lvl w:ilvl="8" w:tplc="23E2F5E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CA6C3C2E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34E8345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3DF4177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B9EE3E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93AD0D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AFA2BF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60A51F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9A4466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D06022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 w:tplc="89D8A18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452C3FAC">
      <w:start w:val="1"/>
      <w:numFmt w:val="lowerLetter"/>
      <w:lvlText w:val="%2."/>
      <w:lvlJc w:val="left"/>
      <w:pPr>
        <w:ind w:left="2149" w:hanging="360"/>
      </w:pPr>
    </w:lvl>
    <w:lvl w:ilvl="2" w:tplc="231411EA">
      <w:start w:val="1"/>
      <w:numFmt w:val="lowerRoman"/>
      <w:lvlText w:val="%3."/>
      <w:lvlJc w:val="right"/>
      <w:pPr>
        <w:ind w:left="2869" w:hanging="180"/>
      </w:pPr>
    </w:lvl>
    <w:lvl w:ilvl="3" w:tplc="B8BCB21C">
      <w:start w:val="1"/>
      <w:numFmt w:val="decimal"/>
      <w:lvlText w:val="%4."/>
      <w:lvlJc w:val="left"/>
      <w:pPr>
        <w:ind w:left="3589" w:hanging="360"/>
      </w:pPr>
    </w:lvl>
    <w:lvl w:ilvl="4" w:tplc="876A6AAE">
      <w:start w:val="1"/>
      <w:numFmt w:val="lowerLetter"/>
      <w:lvlText w:val="%5."/>
      <w:lvlJc w:val="left"/>
      <w:pPr>
        <w:ind w:left="4309" w:hanging="360"/>
      </w:pPr>
    </w:lvl>
    <w:lvl w:ilvl="5" w:tplc="13726AF6">
      <w:start w:val="1"/>
      <w:numFmt w:val="lowerRoman"/>
      <w:lvlText w:val="%6."/>
      <w:lvlJc w:val="right"/>
      <w:pPr>
        <w:ind w:left="5029" w:hanging="180"/>
      </w:pPr>
    </w:lvl>
    <w:lvl w:ilvl="6" w:tplc="BA282DEA">
      <w:start w:val="1"/>
      <w:numFmt w:val="decimal"/>
      <w:lvlText w:val="%7."/>
      <w:lvlJc w:val="left"/>
      <w:pPr>
        <w:ind w:left="5749" w:hanging="360"/>
      </w:pPr>
    </w:lvl>
    <w:lvl w:ilvl="7" w:tplc="EE00384C">
      <w:start w:val="1"/>
      <w:numFmt w:val="lowerLetter"/>
      <w:lvlText w:val="%8."/>
      <w:lvlJc w:val="left"/>
      <w:pPr>
        <w:ind w:left="6469" w:hanging="360"/>
      </w:pPr>
    </w:lvl>
    <w:lvl w:ilvl="8" w:tplc="412A7B8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 w:tplc="F38E1E88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9D5C5170">
      <w:start w:val="1"/>
      <w:numFmt w:val="lowerLetter"/>
      <w:lvlText w:val="%2."/>
      <w:lvlJc w:val="left"/>
      <w:pPr>
        <w:ind w:left="1440" w:hanging="360"/>
      </w:pPr>
    </w:lvl>
    <w:lvl w:ilvl="2" w:tplc="9906FE72">
      <w:start w:val="1"/>
      <w:numFmt w:val="lowerRoman"/>
      <w:lvlText w:val="%3."/>
      <w:lvlJc w:val="right"/>
      <w:pPr>
        <w:ind w:left="2160" w:hanging="180"/>
      </w:pPr>
    </w:lvl>
    <w:lvl w:ilvl="3" w:tplc="0D5622A4">
      <w:start w:val="1"/>
      <w:numFmt w:val="decimal"/>
      <w:lvlText w:val="%4."/>
      <w:lvlJc w:val="left"/>
      <w:pPr>
        <w:ind w:left="2880" w:hanging="360"/>
      </w:pPr>
    </w:lvl>
    <w:lvl w:ilvl="4" w:tplc="4A9468FE">
      <w:start w:val="1"/>
      <w:numFmt w:val="lowerLetter"/>
      <w:lvlText w:val="%5."/>
      <w:lvlJc w:val="left"/>
      <w:pPr>
        <w:ind w:left="3600" w:hanging="360"/>
      </w:pPr>
    </w:lvl>
    <w:lvl w:ilvl="5" w:tplc="6BBC7628">
      <w:start w:val="1"/>
      <w:numFmt w:val="lowerRoman"/>
      <w:lvlText w:val="%6."/>
      <w:lvlJc w:val="right"/>
      <w:pPr>
        <w:ind w:left="4320" w:hanging="180"/>
      </w:pPr>
    </w:lvl>
    <w:lvl w:ilvl="6" w:tplc="4508B9E2">
      <w:start w:val="1"/>
      <w:numFmt w:val="decimal"/>
      <w:lvlText w:val="%7."/>
      <w:lvlJc w:val="left"/>
      <w:pPr>
        <w:ind w:left="5040" w:hanging="360"/>
      </w:pPr>
    </w:lvl>
    <w:lvl w:ilvl="7" w:tplc="B4FE0676">
      <w:start w:val="1"/>
      <w:numFmt w:val="lowerLetter"/>
      <w:lvlText w:val="%8."/>
      <w:lvlJc w:val="left"/>
      <w:pPr>
        <w:ind w:left="5760" w:hanging="360"/>
      </w:pPr>
    </w:lvl>
    <w:lvl w:ilvl="8" w:tplc="2E8275A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 w:tplc="19008AEA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9AEE4A6A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3D52C51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8C2DEF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2B441DC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5DA465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F98425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2CCC74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83ED73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 w:tplc="36A6FFBC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82149696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7730EDF8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CD0021A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397CCAB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6924145A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38C8C0AA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F0A23DD8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EF40FB5C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 w:tplc="6C880ED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398076AA">
      <w:start w:val="1"/>
      <w:numFmt w:val="lowerLetter"/>
      <w:lvlText w:val="%2."/>
      <w:lvlJc w:val="left"/>
      <w:pPr>
        <w:ind w:left="2149" w:hanging="360"/>
      </w:pPr>
    </w:lvl>
    <w:lvl w:ilvl="2" w:tplc="CBFE84A2">
      <w:start w:val="1"/>
      <w:numFmt w:val="lowerRoman"/>
      <w:lvlText w:val="%3."/>
      <w:lvlJc w:val="right"/>
      <w:pPr>
        <w:ind w:left="2869" w:hanging="180"/>
      </w:pPr>
    </w:lvl>
    <w:lvl w:ilvl="3" w:tplc="C04CC086">
      <w:start w:val="1"/>
      <w:numFmt w:val="decimal"/>
      <w:lvlText w:val="%4."/>
      <w:lvlJc w:val="left"/>
      <w:pPr>
        <w:ind w:left="3589" w:hanging="360"/>
      </w:pPr>
    </w:lvl>
    <w:lvl w:ilvl="4" w:tplc="54EEA57E">
      <w:start w:val="1"/>
      <w:numFmt w:val="lowerLetter"/>
      <w:lvlText w:val="%5."/>
      <w:lvlJc w:val="left"/>
      <w:pPr>
        <w:ind w:left="4309" w:hanging="360"/>
      </w:pPr>
    </w:lvl>
    <w:lvl w:ilvl="5" w:tplc="70DE8CAA">
      <w:start w:val="1"/>
      <w:numFmt w:val="lowerRoman"/>
      <w:lvlText w:val="%6."/>
      <w:lvlJc w:val="right"/>
      <w:pPr>
        <w:ind w:left="5029" w:hanging="180"/>
      </w:pPr>
    </w:lvl>
    <w:lvl w:ilvl="6" w:tplc="DD4AFFFA">
      <w:start w:val="1"/>
      <w:numFmt w:val="decimal"/>
      <w:lvlText w:val="%7."/>
      <w:lvlJc w:val="left"/>
      <w:pPr>
        <w:ind w:left="5749" w:hanging="360"/>
      </w:pPr>
    </w:lvl>
    <w:lvl w:ilvl="7" w:tplc="B3FA033C">
      <w:start w:val="1"/>
      <w:numFmt w:val="lowerLetter"/>
      <w:lvlText w:val="%8."/>
      <w:lvlJc w:val="left"/>
      <w:pPr>
        <w:ind w:left="6469" w:hanging="360"/>
      </w:pPr>
    </w:lvl>
    <w:lvl w:ilvl="8" w:tplc="84F6678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 w:tplc="0DEA193C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83A862DA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CB90E4C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23DE699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DC683FBE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E78ED2C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165E7EC8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24065CE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9FEEF40C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multiLevelType w:val="hybridMultilevel"/>
    <w:lvl w:ilvl="0" w:tplc="D9367460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2C5042C4">
      <w:start w:val="1"/>
      <w:numFmt w:val="lowerLetter"/>
      <w:lvlText w:val="%2."/>
      <w:lvlJc w:val="left"/>
      <w:pPr>
        <w:ind w:left="2149" w:hanging="360"/>
      </w:pPr>
    </w:lvl>
    <w:lvl w:ilvl="2" w:tplc="C9CE7220">
      <w:start w:val="1"/>
      <w:numFmt w:val="lowerRoman"/>
      <w:lvlText w:val="%3."/>
      <w:lvlJc w:val="right"/>
      <w:pPr>
        <w:ind w:left="2869" w:hanging="180"/>
      </w:pPr>
    </w:lvl>
    <w:lvl w:ilvl="3" w:tplc="AEEE71EC">
      <w:start w:val="1"/>
      <w:numFmt w:val="decimal"/>
      <w:lvlText w:val="%4."/>
      <w:lvlJc w:val="left"/>
      <w:pPr>
        <w:ind w:left="3589" w:hanging="360"/>
      </w:pPr>
    </w:lvl>
    <w:lvl w:ilvl="4" w:tplc="DDE40F96">
      <w:start w:val="1"/>
      <w:numFmt w:val="lowerLetter"/>
      <w:lvlText w:val="%5."/>
      <w:lvlJc w:val="left"/>
      <w:pPr>
        <w:ind w:left="4309" w:hanging="360"/>
      </w:pPr>
    </w:lvl>
    <w:lvl w:ilvl="5" w:tplc="57326FFC">
      <w:start w:val="1"/>
      <w:numFmt w:val="lowerRoman"/>
      <w:lvlText w:val="%6."/>
      <w:lvlJc w:val="right"/>
      <w:pPr>
        <w:ind w:left="5029" w:hanging="180"/>
      </w:pPr>
    </w:lvl>
    <w:lvl w:ilvl="6" w:tplc="A6FEF346">
      <w:start w:val="1"/>
      <w:numFmt w:val="decimal"/>
      <w:lvlText w:val="%7."/>
      <w:lvlJc w:val="left"/>
      <w:pPr>
        <w:ind w:left="5749" w:hanging="360"/>
      </w:pPr>
    </w:lvl>
    <w:lvl w:ilvl="7" w:tplc="5FA8102A">
      <w:start w:val="1"/>
      <w:numFmt w:val="lowerLetter"/>
      <w:lvlText w:val="%8."/>
      <w:lvlJc w:val="left"/>
      <w:pPr>
        <w:ind w:left="6469" w:hanging="360"/>
      </w:pPr>
    </w:lvl>
    <w:lvl w:ilvl="8" w:tplc="6ED66B7C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 w:tplc="7248CF4A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D02A96AA">
      <w:start w:val="1"/>
      <w:numFmt w:val="lowerLetter"/>
      <w:lvlText w:val="%2."/>
      <w:lvlJc w:val="left"/>
      <w:pPr>
        <w:ind w:left="1440" w:hanging="360"/>
      </w:pPr>
    </w:lvl>
    <w:lvl w:ilvl="2" w:tplc="6F00C1D2">
      <w:start w:val="1"/>
      <w:numFmt w:val="lowerRoman"/>
      <w:lvlText w:val="%3."/>
      <w:lvlJc w:val="right"/>
      <w:pPr>
        <w:ind w:left="2160" w:hanging="180"/>
      </w:pPr>
    </w:lvl>
    <w:lvl w:ilvl="3" w:tplc="0D98D4D0">
      <w:start w:val="1"/>
      <w:numFmt w:val="decimal"/>
      <w:lvlText w:val="%4."/>
      <w:lvlJc w:val="left"/>
      <w:pPr>
        <w:ind w:left="2880" w:hanging="360"/>
      </w:pPr>
    </w:lvl>
    <w:lvl w:ilvl="4" w:tplc="D63EA018">
      <w:start w:val="1"/>
      <w:numFmt w:val="lowerLetter"/>
      <w:lvlText w:val="%5."/>
      <w:lvlJc w:val="left"/>
      <w:pPr>
        <w:ind w:left="3600" w:hanging="360"/>
      </w:pPr>
    </w:lvl>
    <w:lvl w:ilvl="5" w:tplc="4B16E8FA">
      <w:start w:val="1"/>
      <w:numFmt w:val="lowerRoman"/>
      <w:lvlText w:val="%6."/>
      <w:lvlJc w:val="right"/>
      <w:pPr>
        <w:ind w:left="4320" w:hanging="180"/>
      </w:pPr>
    </w:lvl>
    <w:lvl w:ilvl="6" w:tplc="782CB8E0">
      <w:start w:val="1"/>
      <w:numFmt w:val="decimal"/>
      <w:lvlText w:val="%7."/>
      <w:lvlJc w:val="left"/>
      <w:pPr>
        <w:ind w:left="5040" w:hanging="360"/>
      </w:pPr>
    </w:lvl>
    <w:lvl w:ilvl="7" w:tplc="DB444DAE">
      <w:start w:val="1"/>
      <w:numFmt w:val="lowerLetter"/>
      <w:lvlText w:val="%8."/>
      <w:lvlJc w:val="left"/>
      <w:pPr>
        <w:ind w:left="5760" w:hanging="360"/>
      </w:pPr>
    </w:lvl>
    <w:lvl w:ilvl="8" w:tplc="66484C4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 w:tplc="52F4BB7C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265E4AD0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 w:tplc="6C92A23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62FCFBA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6E80AF5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F6C0BC6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229CFEBC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2294EEA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39F036EC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multiLevelType w:val="hybridMultilevel"/>
    <w:lvl w:ilvl="0" w:tplc="4844AFF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038C5312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6DFA75E4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49E40F3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699C0B6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7C2678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C4C27F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3106D1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386589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0"/>
  </w:num>
  <w:num w:numId="5">
    <w:abstractNumId w:val="27"/>
  </w:num>
  <w:num w:numId="6">
    <w:abstractNumId w:val="15"/>
  </w:num>
  <w:num w:numId="7">
    <w:abstractNumId w:val="9"/>
  </w:num>
  <w:num w:numId="8">
    <w:abstractNumId w:val="2"/>
  </w:num>
  <w:num w:numId="9">
    <w:abstractNumId w:val="26"/>
  </w:num>
  <w:num w:numId="10">
    <w:abstractNumId w:val="25"/>
  </w:num>
  <w:num w:numId="11">
    <w:abstractNumId w:val="21"/>
  </w:num>
  <w:num w:numId="12">
    <w:abstractNumId w:val="14"/>
  </w:num>
  <w:num w:numId="13">
    <w:abstractNumId w:val="30"/>
  </w:num>
  <w:num w:numId="14">
    <w:abstractNumId w:val="7"/>
  </w:num>
  <w:num w:numId="15">
    <w:abstractNumId w:val="12"/>
  </w:num>
  <w:num w:numId="16">
    <w:abstractNumId w:val="29"/>
  </w:num>
  <w:num w:numId="17">
    <w:abstractNumId w:val="5"/>
  </w:num>
  <w:num w:numId="18">
    <w:abstractNumId w:val="32"/>
  </w:num>
  <w:num w:numId="19">
    <w:abstractNumId w:val="1"/>
  </w:num>
  <w:num w:numId="20">
    <w:abstractNumId w:val="34"/>
  </w:num>
  <w:num w:numId="21">
    <w:abstractNumId w:val="22"/>
  </w:num>
  <w:num w:numId="22">
    <w:abstractNumId w:val="33"/>
  </w:num>
  <w:num w:numId="23">
    <w:abstractNumId w:val="16"/>
  </w:num>
  <w:num w:numId="24">
    <w:abstractNumId w:val="35"/>
  </w:num>
  <w:num w:numId="25">
    <w:abstractNumId w:val="31"/>
  </w:num>
  <w:num w:numId="26">
    <w:abstractNumId w:val="28"/>
  </w:num>
  <w:num w:numId="27">
    <w:abstractNumId w:val="13"/>
  </w:num>
  <w:num w:numId="28">
    <w:abstractNumId w:val="17"/>
  </w:num>
  <w:num w:numId="29">
    <w:abstractNumId w:val="3"/>
  </w:num>
  <w:num w:numId="30">
    <w:abstractNumId w:val="24"/>
  </w:num>
  <w:num w:numId="31">
    <w:abstractNumId w:val="20"/>
  </w:num>
  <w:num w:numId="32">
    <w:abstractNumId w:val="23"/>
  </w:num>
  <w:num w:numId="33">
    <w:abstractNumId w:val="11"/>
  </w:num>
  <w:num w:numId="34">
    <w:abstractNumId w:val="19"/>
  </w:num>
  <w:num w:numId="35">
    <w:abstractNumId w:val="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">
    <w:name w:val="heading 1"/>
    <w:link w:val="10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styleId="ac">
    <w:name w:val="annotation reference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Pr>
      <w:szCs w:val="20"/>
    </w:rPr>
  </w:style>
  <w:style w:type="character" w:styleId="ae" w:customStyle="1">
    <w:name w:val="Текст примечания Знак"/>
    <w:basedOn w:val="a0"/>
    <w:link w:val="ad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0" w:customStyle="1">
    <w:name w:val="Текст выноски Знак"/>
    <w:basedOn w:val="a0"/>
    <w:link w:val="af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styleId="af2" w:customStyle="1">
    <w:name w:val="Тема примечания Знак"/>
    <w:basedOn w:val="ae"/>
    <w:link w:val="af1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styleId="33" w:customStyle="1">
    <w:name w:val="Сетка таблицы3"/>
    <w:basedOn w:val="a1"/>
    <w:next w:val="af3"/>
    <w:uiPriority w:val="39"/>
    <w:pPr>
      <w:spacing w:after="0" w:line="240" w:lineRule="auto"/>
    </w:pPr>
    <w:rPr>
      <w:rFonts w:ascii="Calibri" w:hAnsi="Calibri" w:eastAsia="Calibri" w:cs="Arial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styleId="af6" w:customStyle="1">
    <w:name w:val="Верхний колонтитул Знак"/>
    <w:basedOn w:val="a0"/>
    <w:link w:val="af5"/>
    <w:uiPriority w:val="99"/>
    <w:rPr>
      <w:rFonts w:ascii="Times New Roman" w:hAnsi="Times New Roman" w:eastAsia="Times New Roman" w:cs="Times New Roman"/>
      <w:sz w:val="20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styleId="af8" w:customStyle="1">
    <w:name w:val="Нижний колонтитул Знак"/>
    <w:basedOn w:val="a0"/>
    <w:link w:val="af7"/>
    <w:uiPriority w:val="99"/>
    <w:rPr>
      <w:rFonts w:ascii="Times New Roman" w:hAnsi="Times New Roman" w:eastAsia="Times New Roman" w:cs="Times New Roman"/>
      <w:sz w:val="20"/>
    </w:rPr>
  </w:style>
  <w:style w:type="paragraph" w:styleId="af9">
    <w:name w:val="endnote text"/>
    <w:basedOn w:val="a"/>
    <w:link w:val="afa"/>
    <w:uiPriority w:val="99"/>
    <w:semiHidden/>
    <w:unhideWhenUsed/>
    <w:rPr>
      <w:szCs w:val="20"/>
    </w:rPr>
  </w:style>
  <w:style w:type="character" w:styleId="afa" w:customStyle="1">
    <w:name w:val="Текст концевой сноски Знак"/>
    <w:basedOn w:val="a0"/>
    <w:link w:val="af9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Pr>
      <w:szCs w:val="20"/>
    </w:rPr>
  </w:style>
  <w:style w:type="character" w:styleId="afd" w:customStyle="1">
    <w:name w:val="Текст сноски Знак"/>
    <w:basedOn w:val="a0"/>
    <w:link w:val="afc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f0">
    <w:name w:val="Body Text"/>
    <w:basedOn w:val="a"/>
    <w:link w:val="aff1"/>
    <w:uiPriority w:val="1"/>
    <w:qFormat/>
    <w:pPr>
      <w:widowControl w:val="off"/>
    </w:pPr>
    <w:rPr>
      <w:sz w:val="24"/>
      <w:szCs w:val="24"/>
    </w:rPr>
  </w:style>
  <w:style w:type="character" w:styleId="aff1" w:customStyle="1">
    <w:name w:val="Основной текст Знак"/>
    <w:basedOn w:val="a0"/>
    <w:link w:val="aff0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aff2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447E-85CF-46A3-9FD5-54EDB3AC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108008</Characters>
  <CharactersWithSpaces>126703</CharactersWithSpaces>
  <Company>rtlabs.ru</Company>
  <DocSecurity>0</DocSecurity>
  <HyperlinksChanged>false</HyperlinksChanged>
  <Lines>900</Lines>
  <LinksUpToDate>false</LinksUpToDate>
  <Pages>49</Pages>
  <Paragraphs>253</Paragraphs>
  <ScaleCrop>false</ScaleCrop>
  <SharedDoc>false</SharedDoc>
  <Template>Normal.dotm</Template>
  <TotalTime>1</TotalTime>
  <Words>18948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Караваева Евгения Викторовна</cp:lastModifiedBy>
  <cp:revision>2</cp:revision>
  <cp:lastPrinted>2025-04-23T04:50:00Z</cp:lastPrinted>
  <dcterms:created xsi:type="dcterms:W3CDTF">2025-05-26T02:37:00Z</dcterms:created>
  <dcterms:modified xsi:type="dcterms:W3CDTF">2025-05-26T02:37:00Z</dcterms:modified>
</cp:coreProperties>
</file>