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394"/>
        <w:jc w:val="center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</w:t>
      </w:r>
      <w:r/>
    </w:p>
    <w:p>
      <w:pPr>
        <w:ind w:left="4394"/>
        <w:jc w:val="center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министерства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труда и социального развития Новосибирской области и министерства здравоохранения </w:t>
      </w:r>
      <w:r/>
    </w:p>
    <w:p>
      <w:pPr>
        <w:ind w:left="4394"/>
        <w:jc w:val="center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/>
    </w:p>
    <w:p>
      <w:pPr>
        <w:ind w:left="4394"/>
        <w:jc w:val="center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</w:pPr>
      <w:r/>
      <w:r/>
    </w:p>
    <w:p>
      <w:pPr>
        <w:ind w:left="4394"/>
        <w:jc w:val="center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________________№___________</w:t>
      </w:r>
      <w:r/>
    </w:p>
    <w:p>
      <w:pPr>
        <w:jc w:val="center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РЕГЛАМЕНТ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межведомственного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взаимодействия министерства труда и социального развития Новосибирской области и министерства здравоохранения Новосибирской области по вопросам доставки лиц 65 лет и старше и инвалидов, проживающих в сельской местности, в медицинские 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 организации социального обслуживания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далее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—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Регламент межведомственного взаимодействия)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I. Общие положения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Настоящий Регламент ме</w:t>
      </w:r>
      <w:r>
        <w:rPr>
          <w:rFonts w:ascii="Times New Roman" w:hAnsi="Times New Roman"/>
          <w:sz w:val="28"/>
          <w:szCs w:val="28"/>
          <w:lang w:eastAsia="ru-RU"/>
        </w:rPr>
        <w:t xml:space="preserve">жведомственного взаимодействия разработан в целях реализации мероприятий регионального проекта «Старшее поколение», в соответствии с методическими рекомендациями «Порядок использования автотранспорта для доставки лиц 65 лет и старше и инвалидов, проживающи</w:t>
      </w:r>
      <w:r>
        <w:rPr>
          <w:rFonts w:ascii="Times New Roman" w:hAnsi="Times New Roman"/>
          <w:sz w:val="28"/>
          <w:szCs w:val="28"/>
          <w:lang w:eastAsia="ru-RU"/>
        </w:rPr>
        <w:t xml:space="preserve">х в сельской местности, в медицинские организации и в организации социального обслуживания», утвержденными Министерством здравоохранения Российской Федерации 07.04.2022 и Министерством труда и социальной защиты Российской Федерации 06.04.2022 и определяет: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 виды деятельности, осуществляемой в рамках межведомственного взаимодействия;</w:t>
      </w:r>
      <w:r/>
    </w:p>
    <w:p>
      <w:pPr>
        <w:ind w:firstLine="540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 порядок и формы межведомственного взаимодействия;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 порядок осуществления контроля и оценки результатов межведомственного взаимодействия.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2. Межведомственное взаимо</w:t>
      </w:r>
      <w:r>
        <w:rPr>
          <w:rFonts w:ascii="Times New Roman" w:hAnsi="Times New Roman"/>
          <w:sz w:val="28"/>
          <w:szCs w:val="28"/>
          <w:lang w:eastAsia="ru-RU"/>
        </w:rPr>
        <w:t xml:space="preserve">действие осуществляется в целях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доставки</w:t>
      </w:r>
      <w:r>
        <w:rPr>
          <w:rFonts w:ascii="Times New Roman" w:hAnsi="Times New Roman"/>
          <w:sz w:val="28"/>
          <w:szCs w:val="28"/>
          <w:lang w:eastAsia="ru-RU"/>
        </w:rPr>
        <w:t xml:space="preserve">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, проживающих в сельской местности (далее – лица 65 лет и старше и инвалиды), в медицинские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 и организации социального обслуживания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 обратно.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3. В настоящем Регламенте межведомственного взаимодействия используются следующие понятия: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местность – территория сельских населенных пунктов, не отнесенная к территории городских поселений или поселков городского типа (рабочих поселков) Новосибирской области;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мобильная (междисциплинарная) бригада – мобильное формирование, включающее заведующих отделений, специалистов по социальной работе (социальных работников) комплексных центров социального обслуживания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населения Новосибирской области (далее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комплексные центры), медицинских работников медицинских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подведомственных министерству здравоохранения Новосибирской области (далее – медицинские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), предназначенное для доставки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медицинские организации и организации социального обслуживания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4. Участниками межведомственного взаимодействия являются: министерство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 – министерство)</w:t>
      </w:r>
      <w:r>
        <w:rPr>
          <w:rFonts w:ascii="Times New Roman" w:hAnsi="Times New Roman"/>
          <w:sz w:val="28"/>
          <w:szCs w:val="28"/>
          <w:lang w:eastAsia="ru-RU"/>
        </w:rPr>
        <w:t xml:space="preserve">, министерство здравоохранения Новосибирской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 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здравоохранения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, комплексные центры, медицинские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Доставку лиц 65 лет и старше и инвалидов осуществляют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комплексные центры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медицинские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определяемые приказом министерства.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Межведомственное взаимодействие при организации мероприятий по доставке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министерством здравоохранения путем привлечения медицинских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; министерством путем привлечения комплексных центров.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II. Виды деятельности, осуществляемые в рамках</w:t>
      </w:r>
      <w:r/>
    </w:p>
    <w:p>
      <w:pPr>
        <w:ind w:firstLine="540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межведомственного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взаимодействия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tabs>
          <w:tab w:val="left" w:pos="791" w:leader="none"/>
          <w:tab w:val="left" w:pos="1432" w:leader="none"/>
        </w:tabs>
      </w:pPr>
      <w:r>
        <w:rPr>
          <w:rFonts w:ascii="Times New Roman" w:hAnsi="Times New Roman"/>
          <w:sz w:val="28"/>
          <w:szCs w:val="28"/>
          <w:lang w:eastAsia="ru-RU"/>
        </w:rPr>
        <w:t xml:space="preserve">5. При организации мероприятий по доставке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медицинские организации и организации социального обслуживания министерство труда и социального развития Новосибирской области обеспечивает: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 организацию мониторинга результатов доставки;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выполнение контроля за своевременной доставкой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медицинские организации и организации социального обслуживания комплексными центрами в соответствии со </w:t>
      </w:r>
      <w:r>
        <w:rPr>
          <w:rFonts w:ascii="Times New Roman" w:hAnsi="Times New Roman"/>
          <w:sz w:val="28"/>
          <w:szCs w:val="28"/>
          <w:lang w:eastAsia="ru-RU"/>
        </w:rPr>
        <w:t xml:space="preserve">списком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 для доставки в медицинскую организацию для проведения диспансеризации (далее – список лиц, подлежащих доставке),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представленными медицинскими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в комплексные центры</w:t>
      </w:r>
      <w: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и планом-графиком проведения медицинской организацией дополнительных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выявление отдельных социально значимых неинфекционных заболеваний (далее – план-график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);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 координацию работы комплексных центров по созданию мобильных (междисциплинарных) бригад для доставки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 медицинские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 и организации социального обслуживания и включению в их состав заведующих отделений, специалистов по социальной работе (социальных работников) комплексных центров;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оказание содействия в организации информирования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порядке их доставки в медицинские организации и организации социального обслуживания;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 обеспечение взаимодействия комплексных центров с медицинскими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6. В целях доставки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медицинские организации и организации социального обслуживания министерство здравоохранения обеспечивает: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 организацию мониторинга выявления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подлежащих доставке в медицинские организации, и результатов такой доставки;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выполнение контроля за своевременным представлением медицинскими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в комплексные центры </w:t>
      </w:r>
      <w:r>
        <w:rPr>
          <w:rFonts w:ascii="Times New Roman" w:hAnsi="Times New Roman"/>
          <w:sz w:val="28"/>
          <w:szCs w:val="28"/>
          <w:lang w:eastAsia="ru-RU"/>
        </w:rPr>
        <w:t xml:space="preserve">списков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лиц, подлежащих доставке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планов-графиков проведения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лиц 65 лет 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старше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инвалидов;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 оказание содействия в организации информирования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порядке их доставки в медицинские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 разработку, в пределах своей компетенции, рекомендаций и разъяснений, необходимых для проведения диспансеризации и профилактических осмотров;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 обеспечение взаимодействия медицинских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организаций </w:t>
      </w:r>
      <w:r>
        <w:rPr>
          <w:rFonts w:ascii="Times New Roman" w:hAnsi="Times New Roman"/>
          <w:sz w:val="28"/>
          <w:szCs w:val="28"/>
          <w:lang w:eastAsia="ru-RU"/>
        </w:rPr>
        <w:t xml:space="preserve">с комплексными центрами.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7. В целях доставки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медицинскими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обеспечивается: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 проведение работы по выявлению и информированию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о порядке их доставки в медицинские организации;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 назначение ответственного лица (ответственных лиц) медицинской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за осуществление межведомственного взаимодействия между медицинской организацией и комплексным центром по приему и обработке, формированию и передаче списков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подлежащих доставке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а также плана-графика проведения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 прием и обработка информации, содержащейся в полученных от комплексного центра списках </w:t>
      </w:r>
      <w:r>
        <w:rPr>
          <w:rFonts w:ascii="Times New Roman" w:hAnsi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подлежащих доставке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включения в план-график проведения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 формирование и передача в комплексный центр списков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подлежащих доставке, а также плана-графика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, в соответствии с законодательством Российской Федерации о персональных данных, в срок до 15 числа месяца, предшествующего кварталу, в котором планируется осуществить доставку в медицинск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ую организацию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 организация участия медицинских работников в деятельности мобильных (междисциплинарных) бригад для доставки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в медицинские организации;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6) организация взаимодействия с комплексным центром по вопросам согласования даты, времени доставки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в медицинские организации с учетом списков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подлежащих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доставке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плана-графика проведения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 обеспечение проведения лицам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, доставленным мобильной (междисциплинарной) бригадой, первого этапа диспансеризации в соответствии с планом-графиком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1 дня;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 подготовка отчетности о проведенных мероприятиях лицам старше 65 лет и инвалидам, в том числе дополнительных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скринингах</w:t>
      </w:r>
      <w:r>
        <w:rPr>
          <w:rFonts w:ascii="Times New Roman" w:hAnsi="Times New Roman"/>
          <w:sz w:val="28"/>
          <w:szCs w:val="28"/>
          <w:lang w:eastAsia="ru-RU"/>
        </w:rPr>
        <w:t xml:space="preserve"> на выявление отдельных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социально значимых неинфекционны</w:t>
      </w:r>
      <w:r>
        <w:rPr>
          <w:rFonts w:ascii="Times New Roman" w:hAnsi="Times New Roman"/>
          <w:sz w:val="28"/>
          <w:szCs w:val="28"/>
          <w:lang w:eastAsia="ru-RU"/>
        </w:rPr>
        <w:t xml:space="preserve">х заболеваний согласно спискам лиц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подлежащих доставке и плану-графику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ее предоставление в министерство здравоохранения ежемесячно, до 5 числа месяца, следующего за отчетным.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8. В целях доставки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медицинские организации и организации социального обслуживания комплексные центры обеспечивают: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 проведение работы по выявлению и информированию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порядке их доставки в организации;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 назначение ответственного лица (ответственных лиц) комплексного центра за осуществление межведомственного взаимодействия между медицинской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и комплексным центром по приему и обработке, формированию и передаче списков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подлежащих доставке, а также плана-графика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 направление информации в медицинскую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о выявленных гражданах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, не прошедших диспансеризацию, для включения в план-график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, в соответствии с законодательством Российской Федерации по защите персональных данных, в срок до 10 числа месяца, предшествующего кварталу, в котором планируется осуществить доставку в медицинскую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 прием и обработку информации, содержащейся в полученных от медицинской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списках </w:t>
      </w:r>
      <w:r>
        <w:rPr>
          <w:rFonts w:ascii="Times New Roman" w:hAnsi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подлежащих доставке и планах-графиках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 формирование мобильной (междисциплинарной) бригады для доставки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медицинские организации и организации социального обслуживания;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6) организацию участия работников комплексного центра в деятельности мобильных (междисциплинарных) бригад для доставки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медицинские организации и организации социального обслуживания;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7) организацию взаимодействия с медицинской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по вопросам согласования даты, времени доставки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с учетом списков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подлежащих доставке и плана-графика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8) формирование плана-графика выездов мобильной (междисциплинарной) бригады во взаимодействии с медицинской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основании списков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подлежащих доставке и плана-графика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9) подготовку отчетности о деятельности мобильной (междисциплинарной) бригады и проведенных мероприятиях по доставке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спискам </w:t>
      </w:r>
      <w:r>
        <w:rPr>
          <w:rFonts w:ascii="Times New Roman" w:hAnsi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подлежащих доставке и плану-графику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ее предоставление в министерство труда и социального развития Новосибирской области ежемесячно, до 5 числа месяца, следующего за отчетным.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9. В случае наступления обстоятельств, препятствующих осуществлению выезда мобильной (междисциплинарной) бригады, ответственное лицо комплексного центра или ответственное лицо медицинской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извещают друг друга о таких обстоятельствах в день их наступления доступным способом.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III. Порядок и формы межведомственного взаимодействия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10. Межведомственное взаимодействие министерства, министерства здравоохранения, комплексных центров и медицинских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целях организации доставки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в следующих формах: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 обмен информацией в пределах компетенции, в том числе на основании запросов, в том числе в электронной форме;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 заключение соглашений об информационном взаимодействии;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 организация совещаний, рабочих групп, проведение совместных мероприятий;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 планирование совместной деятельности;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 осуществление контроля министерством за деятельностью комплексных центров, министерством здравоохранения за деятельностью медицинских организаций. 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Обмен между медицинскими организациями и комплексными центрами списками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подлежащих доставке и планами-графиками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обмен иной информацией, необходимой для организации доставки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, осуществляется в электронной форме, с использованием средств криптографической защиты информации программного комплекса </w:t>
      </w:r>
      <w:r>
        <w:rPr>
          <w:rFonts w:ascii="Times New Roman" w:hAnsi="Times New Roman"/>
          <w:sz w:val="28"/>
          <w:szCs w:val="28"/>
          <w:lang w:eastAsia="ru-RU"/>
        </w:rPr>
        <w:t xml:space="preserve">ViPNet</w:t>
      </w:r>
      <w:r>
        <w:rPr>
          <w:rFonts w:ascii="Times New Roman" w:hAnsi="Times New Roman"/>
          <w:sz w:val="28"/>
          <w:szCs w:val="28"/>
          <w:lang w:eastAsia="ru-RU"/>
        </w:rPr>
        <w:t xml:space="preserve"> «Деловая по</w:t>
      </w:r>
      <w:r>
        <w:rPr>
          <w:rFonts w:ascii="Times New Roman" w:hAnsi="Times New Roman"/>
          <w:sz w:val="28"/>
          <w:szCs w:val="28"/>
          <w:lang w:eastAsia="ru-RU"/>
        </w:rPr>
        <w:t xml:space="preserve">чта» в соответствии с требованиями Федерального закона от 27.07.2006 № 152-ФЗ «О персональных данных», статьи 13 Федерального закона от 21.11.2011 № 323-ФЗ «Об основах охраны здоровья граждан в Российской Федерации» и статьи 28 Федерального закона от 28.12</w:t>
      </w:r>
      <w:r>
        <w:rPr>
          <w:rFonts w:ascii="Times New Roman" w:hAnsi="Times New Roman"/>
          <w:sz w:val="28"/>
          <w:szCs w:val="28"/>
          <w:lang w:eastAsia="ru-RU"/>
        </w:rPr>
        <w:t xml:space="preserve">.2013 № </w:t>
      </w:r>
      <w:r>
        <w:rPr>
          <w:rFonts w:ascii="Times New Roman" w:hAnsi="Times New Roman"/>
          <w:sz w:val="28"/>
          <w:szCs w:val="28"/>
          <w:lang w:eastAsia="ru-RU"/>
        </w:rPr>
        <w:t xml:space="preserve">442-ФЗ «Об основах социального обслуживания граждан в Российской Федерации».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11. Списки </w:t>
      </w:r>
      <w:r>
        <w:rPr>
          <w:rFonts w:ascii="Times New Roman" w:hAnsi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подлежащих доставке, должны содержать следующую информацию: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- фамилия, имя, отчество (последнее при наличии) гражданина;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- пол;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- дата рождения;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- контактные данные (номер телефона);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адрес места проживания.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 План-график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должен содержать следующую информацию: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 наименование медицинской организации, осуществляющей проведение дополнительных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выявление отдельных социально значимых неинфекционных заболеваний;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 дату (период) проведения дополнительных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выявление отдельных социально значимых неинфекционных заболеваний;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 общее число лиц старше 65 лет и инвалидов, в отношении которых обеспечивается проведение дополнительных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выявление отдельных социально значимых неинфекционных заболеваний.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13. Условием межведомственного обмена информацией является соблюдение конфиденциальности персональных данных граждан в соответствии с законодательством Российской Федерации.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14. Межведомственное взаимодействие между участниками межведомственного взаимодействия осуществляется на безвозмездной основе.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IV. Порядок осуществления контроля и оценки</w:t>
      </w:r>
      <w:r/>
    </w:p>
    <w:p>
      <w:pPr>
        <w:ind w:firstLine="540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межведомственного взаимодействия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15. Контроль и оценка результатов межведомственного взаимодействия осуществляется министерством и министерством здравоохранения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по следующим критериям: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 соблюдение сроков и порядка направления информации в рамках межведомственного взаимодействия;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 наличие в полученной информации в рамках межведомственного взаимодействия сведений, необходимых для организации доставки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 соблюдение сроков плана-графика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скринингов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комплексными центрами (в части доставки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) и медицинскими организациями (в части обеспечения проведения лицам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 лет и старше и инвалидам</w:t>
      </w:r>
      <w:r>
        <w:rPr>
          <w:rFonts w:ascii="Times New Roman" w:hAnsi="Times New Roman"/>
          <w:sz w:val="28"/>
          <w:szCs w:val="28"/>
          <w:lang w:eastAsia="ru-RU"/>
        </w:rPr>
        <w:t xml:space="preserve">, доставленным мобильной (междисциплинарной) бригадой, первого этапа диспансеризации в течение 1 дня);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 соблюдение сроков предоставления отчетной информации комплексными центрами и медицинскими организациями.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851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Droid Sans Devanagari">
    <w:panose1 w:val="05050102010205020202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6</w:t>
    </w:r>
    <w:r>
      <w:fldChar w:fldCharType="end"/>
    </w:r>
    <w:r/>
  </w:p>
  <w:p>
    <w:pPr>
      <w:pStyle w:val="7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pPr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674">
    <w:name w:val="Heading 1"/>
    <w:basedOn w:val="673"/>
    <w:next w:val="673"/>
    <w:link w:val="70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70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70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70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0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70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70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71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71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uiPriority w:val="10"/>
    <w:rPr>
      <w:sz w:val="48"/>
      <w:szCs w:val="48"/>
    </w:rPr>
  </w:style>
  <w:style w:type="character" w:styleId="696" w:customStyle="1">
    <w:name w:val="Subtitle Char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Header Char"/>
    <w:basedOn w:val="683"/>
    <w:uiPriority w:val="99"/>
  </w:style>
  <w:style w:type="character" w:styleId="700" w:customStyle="1">
    <w:name w:val="Caption Char"/>
    <w:uiPriority w:val="99"/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73"/>
    <w:pPr>
      <w:contextualSpacing/>
      <w:ind w:left="720"/>
    </w:pPr>
  </w:style>
  <w:style w:type="paragraph" w:styleId="713">
    <w:name w:val="No Spacing"/>
    <w:rPr>
      <w:rFonts w:ascii="Calibri" w:hAnsi="Calibri" w:eastAsia="Calibri"/>
      <w:sz w:val="22"/>
      <w:szCs w:val="22"/>
      <w:lang w:eastAsia="zh-CN"/>
    </w:rPr>
  </w:style>
  <w:style w:type="paragraph" w:styleId="714">
    <w:name w:val="Title"/>
    <w:basedOn w:val="673"/>
    <w:link w:val="715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character" w:styleId="715" w:customStyle="1">
    <w:name w:val="Название Знак"/>
    <w:link w:val="714"/>
    <w:uiPriority w:val="10"/>
    <w:rPr>
      <w:sz w:val="48"/>
      <w:szCs w:val="48"/>
    </w:rPr>
  </w:style>
  <w:style w:type="paragraph" w:styleId="716">
    <w:name w:val="Subtitle"/>
    <w:basedOn w:val="673"/>
    <w:next w:val="673"/>
    <w:link w:val="717"/>
    <w:uiPriority w:val="11"/>
    <w:qFormat/>
    <w:pPr>
      <w:spacing w:before="200"/>
    </w:pPr>
    <w:rPr>
      <w:sz w:val="24"/>
      <w:szCs w:val="24"/>
    </w:rPr>
  </w:style>
  <w:style w:type="character" w:styleId="717" w:customStyle="1">
    <w:name w:val="Подзаголовок Знак"/>
    <w:link w:val="716"/>
    <w:uiPriority w:val="11"/>
    <w:rPr>
      <w:sz w:val="24"/>
      <w:szCs w:val="24"/>
    </w:rPr>
  </w:style>
  <w:style w:type="paragraph" w:styleId="718">
    <w:name w:val="Quote"/>
    <w:basedOn w:val="673"/>
    <w:next w:val="673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3"/>
    <w:next w:val="673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73"/>
    <w:link w:val="723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0"/>
      <w:szCs w:val="20"/>
      <w:lang w:val="en-US"/>
    </w:rPr>
  </w:style>
  <w:style w:type="character" w:styleId="723" w:customStyle="1">
    <w:name w:val="Верхний колонтитул Знак1"/>
    <w:link w:val="722"/>
    <w:uiPriority w:val="99"/>
  </w:style>
  <w:style w:type="paragraph" w:styleId="724">
    <w:name w:val="Footer"/>
    <w:basedOn w:val="673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Footer Char"/>
    <w:uiPriority w:val="99"/>
  </w:style>
  <w:style w:type="paragraph" w:styleId="726">
    <w:name w:val="Caption"/>
    <w:basedOn w:val="673"/>
    <w:next w:val="673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27" w:customStyle="1">
    <w:name w:val="Нижний колонтитул Знак"/>
    <w:link w:val="724"/>
    <w:uiPriority w:val="99"/>
  </w:style>
  <w:style w:type="table" w:styleId="728">
    <w:name w:val="Table Grid"/>
    <w:basedOn w:val="68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Table Grid Light"/>
    <w:basedOn w:val="684"/>
    <w:uiPriority w:val="59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684"/>
    <w:uiPriority w:val="59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684"/>
    <w:uiPriority w:val="59"/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684"/>
    <w:uiPriority w:val="99"/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84"/>
    <w:uiPriority w:val="99"/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84"/>
    <w:uiPriority w:val="99"/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84"/>
    <w:uiPriority w:val="99"/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84"/>
    <w:uiPriority w:val="99"/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84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84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684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84"/>
    <w:uiPriority w:val="99"/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84"/>
    <w:uiPriority w:val="99"/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84"/>
    <w:uiPriority w:val="99"/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84"/>
    <w:uiPriority w:val="99"/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84"/>
    <w:uiPriority w:val="99"/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84"/>
    <w:uiPriority w:val="99"/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684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84"/>
    <w:uiPriority w:val="99"/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84"/>
    <w:uiPriority w:val="99"/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84"/>
    <w:uiPriority w:val="99"/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84"/>
    <w:uiPriority w:val="99"/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84"/>
    <w:uiPriority w:val="99"/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84"/>
    <w:uiPriority w:val="99"/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684"/>
    <w:uiPriority w:val="59"/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57" w:customStyle="1">
    <w:name w:val="Grid Table 4 - Accent 1"/>
    <w:basedOn w:val="684"/>
    <w:uiPriority w:val="59"/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758" w:customStyle="1">
    <w:name w:val="Grid Table 4 - Accent 2"/>
    <w:basedOn w:val="684"/>
    <w:uiPriority w:val="59"/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759" w:customStyle="1">
    <w:name w:val="Grid Table 4 - Accent 3"/>
    <w:basedOn w:val="684"/>
    <w:uiPriority w:val="59"/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760" w:customStyle="1">
    <w:name w:val="Grid Table 4 - Accent 4"/>
    <w:basedOn w:val="684"/>
    <w:uiPriority w:val="59"/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761" w:customStyle="1">
    <w:name w:val="Grid Table 4 - Accent 5"/>
    <w:basedOn w:val="684"/>
    <w:uiPriority w:val="59"/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762" w:customStyle="1">
    <w:name w:val="Grid Table 4 - Accent 6"/>
    <w:basedOn w:val="684"/>
    <w:uiPriority w:val="59"/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763">
    <w:name w:val="Grid Table 5 Dark"/>
    <w:basedOn w:val="684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64" w:customStyle="1">
    <w:name w:val="Grid Table 5 Dark- Accent 1"/>
    <w:basedOn w:val="684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/>
      </w:tcPr>
    </w:tblStylePr>
    <w:tblStylePr w:type="band1Vert">
      <w:tcPr>
        <w:shd w:val="clear" w:color="aec4e0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FFFFFF" w:sz="4" w:space="0"/>
        </w:tcBorders>
      </w:tcPr>
    </w:tblStylePr>
  </w:style>
  <w:style w:type="table" w:styleId="765" w:customStyle="1">
    <w:name w:val="Grid Table 5 Dark - Accent 2"/>
    <w:basedOn w:val="684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/>
      </w:tcPr>
    </w:tblStylePr>
    <w:tblStylePr w:type="band1Vert">
      <w:tcPr>
        <w:shd w:val="clear" w:color="e2aead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/>
        <w:tcBorders>
          <w:top w:val="single" w:color="FFFFFF" w:sz="4" w:space="0"/>
        </w:tcBorders>
      </w:tcPr>
    </w:tblStylePr>
  </w:style>
  <w:style w:type="table" w:styleId="766" w:customStyle="1">
    <w:name w:val="Grid Table 5 Dark - Accent 3"/>
    <w:basedOn w:val="684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/>
      </w:tcPr>
    </w:tblStylePr>
    <w:tblStylePr w:type="band1Vert">
      <w:tcPr>
        <w:shd w:val="clear" w:color="d0dfb2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/>
        <w:tcBorders>
          <w:top w:val="single" w:color="FFFFFF" w:sz="4" w:space="0"/>
        </w:tcBorders>
      </w:tcPr>
    </w:tblStylePr>
  </w:style>
  <w:style w:type="table" w:styleId="767" w:customStyle="1">
    <w:name w:val="Grid Table 5 Dark- Accent 4"/>
    <w:basedOn w:val="684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/>
      </w:tcPr>
    </w:tblStylePr>
    <w:tblStylePr w:type="band1Vert">
      <w:tcPr>
        <w:shd w:val="clear" w:color="c4b7d4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/>
        <w:tcBorders>
          <w:top w:val="single" w:color="FFFFFF" w:sz="4" w:space="0"/>
        </w:tcBorders>
      </w:tcPr>
    </w:tblStylePr>
  </w:style>
  <w:style w:type="table" w:styleId="768" w:customStyle="1">
    <w:name w:val="Grid Table 5 Dark - Accent 5"/>
    <w:basedOn w:val="684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/>
      </w:tcPr>
    </w:tblStylePr>
    <w:tblStylePr w:type="band1Vert">
      <w:tcPr>
        <w:shd w:val="clear" w:color="acd8e4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FFFFFF" w:sz="4" w:space="0"/>
        </w:tcBorders>
      </w:tcPr>
    </w:tblStylePr>
  </w:style>
  <w:style w:type="table" w:styleId="769" w:customStyle="1">
    <w:name w:val="Grid Table 5 Dark - Accent 6"/>
    <w:basedOn w:val="684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/>
      </w:tcPr>
    </w:tblStylePr>
    <w:tblStylePr w:type="band1Vert">
      <w:tcPr>
        <w:shd w:val="clear" w:color="fbceaa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FFFFF" w:sz="4" w:space="0"/>
        </w:tcBorders>
      </w:tcPr>
    </w:tblStylePr>
  </w:style>
  <w:style w:type="table" w:styleId="770">
    <w:name w:val="Grid Table 6 Colorful"/>
    <w:basedOn w:val="684"/>
    <w:uiPriority w:val="99"/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771" w:customStyle="1">
    <w:name w:val="Grid Table 6 Colorful - Accent 1"/>
    <w:basedOn w:val="684"/>
    <w:uiPriority w:val="99"/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b/>
        <w:color w:val="a6bfdd"/>
      </w:rPr>
    </w:tblStyle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</w:tblStylePr>
    <w:tblStylePr w:type="lastRow">
      <w:rPr>
        <w:b/>
        <w:color w:val="a6bfdd"/>
      </w:rPr>
    </w:tblStylePr>
  </w:style>
  <w:style w:type="table" w:styleId="772" w:customStyle="1">
    <w:name w:val="Grid Table 6 Colorful - Accent 2"/>
    <w:basedOn w:val="684"/>
    <w:uiPriority w:val="99"/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</w:tblStylePr>
  </w:style>
  <w:style w:type="table" w:styleId="773" w:customStyle="1">
    <w:name w:val="Grid Table 6 Colorful - Accent 3"/>
    <w:basedOn w:val="684"/>
    <w:uiPriority w:val="99"/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b/>
        <w:color w:val="9abb59"/>
      </w:rPr>
    </w:tblStyle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</w:tblStylePr>
    <w:tblStylePr w:type="lastRow">
      <w:rPr>
        <w:b/>
        <w:color w:val="9abb59"/>
      </w:rPr>
    </w:tblStylePr>
  </w:style>
  <w:style w:type="table" w:styleId="774" w:customStyle="1">
    <w:name w:val="Grid Table 6 Colorful - Accent 4"/>
    <w:basedOn w:val="684"/>
    <w:uiPriority w:val="99"/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</w:tblStylePr>
  </w:style>
  <w:style w:type="table" w:styleId="775" w:customStyle="1">
    <w:name w:val="Grid Table 6 Colorful - Accent 5"/>
    <w:basedOn w:val="684"/>
    <w:uiPriority w:val="99"/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76" w:customStyle="1">
    <w:name w:val="Grid Table 6 Colorful - Accent 6"/>
    <w:basedOn w:val="684"/>
    <w:uiPriority w:val="99"/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77">
    <w:name w:val="Grid Table 7 Colorful"/>
    <w:basedOn w:val="684"/>
    <w:uiPriority w:val="99"/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684"/>
    <w:uiPriority w:val="99"/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684"/>
    <w:uiPriority w:val="99"/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684"/>
    <w:uiPriority w:val="99"/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684"/>
    <w:uiPriority w:val="99"/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684"/>
    <w:uiPriority w:val="99"/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684"/>
    <w:uiPriority w:val="99"/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684"/>
    <w:uiPriority w:val="99"/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84"/>
    <w:uiPriority w:val="99"/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84"/>
    <w:uiPriority w:val="99"/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84"/>
    <w:uiPriority w:val="99"/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84"/>
    <w:uiPriority w:val="99"/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84"/>
    <w:uiPriority w:val="99"/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84"/>
    <w:uiPriority w:val="99"/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798">
    <w:name w:val="List Table 3"/>
    <w:basedOn w:val="684"/>
    <w:uiPriority w:val="99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84"/>
    <w:uiPriority w:val="99"/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84"/>
    <w:uiPriority w:val="99"/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84"/>
    <w:uiPriority w:val="99"/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84"/>
    <w:uiPriority w:val="99"/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84"/>
    <w:uiPriority w:val="99"/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84"/>
    <w:uiPriority w:val="99"/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684"/>
    <w:uiPriority w:val="99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84"/>
    <w:uiPriority w:val="99"/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84"/>
    <w:uiPriority w:val="99"/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84"/>
    <w:uiPriority w:val="99"/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84"/>
    <w:uiPriority w:val="99"/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84"/>
    <w:uiPriority w:val="99"/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84"/>
    <w:uiPriority w:val="99"/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684"/>
    <w:uiPriority w:val="99"/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13" w:customStyle="1">
    <w:name w:val="List Table 5 Dark - Accent 1"/>
    <w:basedOn w:val="684"/>
    <w:uiPriority w:val="99"/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14" w:customStyle="1">
    <w:name w:val="List Table 5 Dark - Accent 2"/>
    <w:basedOn w:val="684"/>
    <w:uiPriority w:val="99"/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15" w:customStyle="1">
    <w:name w:val="List Table 5 Dark - Accent 3"/>
    <w:basedOn w:val="684"/>
    <w:uiPriority w:val="99"/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16" w:customStyle="1">
    <w:name w:val="List Table 5 Dark - Accent 4"/>
    <w:basedOn w:val="684"/>
    <w:uiPriority w:val="99"/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17" w:customStyle="1">
    <w:name w:val="List Table 5 Dark - Accent 5"/>
    <w:basedOn w:val="684"/>
    <w:uiPriority w:val="99"/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18" w:customStyle="1">
    <w:name w:val="List Table 5 Dark - Accent 6"/>
    <w:basedOn w:val="684"/>
    <w:uiPriority w:val="99"/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19">
    <w:name w:val="List Table 6 Colorful"/>
    <w:basedOn w:val="684"/>
    <w:uiPriority w:val="99"/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820" w:customStyle="1">
    <w:name w:val="List Table 6 Colorful - Accent 1"/>
    <w:basedOn w:val="684"/>
    <w:uiPriority w:val="99"/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b/>
        <w:color w:val="2a4a71"/>
      </w:rPr>
    </w:tblStyle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821" w:customStyle="1">
    <w:name w:val="List Table 6 Colorful - Accent 2"/>
    <w:basedOn w:val="684"/>
    <w:uiPriority w:val="99"/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822" w:customStyle="1">
    <w:name w:val="List Table 6 Colorful - Accent 3"/>
    <w:basedOn w:val="684"/>
    <w:uiPriority w:val="99"/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b/>
        <w:color w:val="c3d69b"/>
      </w:rPr>
    </w:tblStyle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823" w:customStyle="1">
    <w:name w:val="List Table 6 Colorful - Accent 4"/>
    <w:basedOn w:val="684"/>
    <w:uiPriority w:val="99"/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824" w:customStyle="1">
    <w:name w:val="List Table 6 Colorful - Accent 5"/>
    <w:basedOn w:val="684"/>
    <w:uiPriority w:val="99"/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b/>
        <w:color w:val="92ccdc"/>
      </w:rPr>
    </w:tblStyle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825" w:customStyle="1">
    <w:name w:val="List Table 6 Colorful - Accent 6"/>
    <w:basedOn w:val="684"/>
    <w:uiPriority w:val="99"/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b/>
        <w:color w:val="fac090"/>
      </w:rPr>
    </w:tblStyle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826">
    <w:name w:val="List Table 7 Colorful"/>
    <w:basedOn w:val="684"/>
    <w:uiPriority w:val="99"/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684"/>
    <w:uiPriority w:val="99"/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684"/>
    <w:uiPriority w:val="99"/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684"/>
    <w:uiPriority w:val="99"/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684"/>
    <w:uiPriority w:val="99"/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684"/>
    <w:uiPriority w:val="99"/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684"/>
    <w:uiPriority w:val="99"/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6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34" w:customStyle="1">
    <w:name w:val="Lined - Accent 1"/>
    <w:basedOn w:val="6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35" w:customStyle="1">
    <w:name w:val="Lined - Accent 2"/>
    <w:basedOn w:val="6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36" w:customStyle="1">
    <w:name w:val="Lined - Accent 3"/>
    <w:basedOn w:val="6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37" w:customStyle="1">
    <w:name w:val="Lined - Accent 4"/>
    <w:basedOn w:val="6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38" w:customStyle="1">
    <w:name w:val="Lined - Accent 5"/>
    <w:basedOn w:val="6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39" w:customStyle="1">
    <w:name w:val="Lined - Accent 6"/>
    <w:basedOn w:val="6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40" w:customStyle="1">
    <w:name w:val="Bordered &amp; Lined - Accent"/>
    <w:basedOn w:val="6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41" w:customStyle="1">
    <w:name w:val="Bordered &amp; Lined - Accent 1"/>
    <w:basedOn w:val="6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42" w:customStyle="1">
    <w:name w:val="Bordered &amp; Lined - Accent 2"/>
    <w:basedOn w:val="6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43" w:customStyle="1">
    <w:name w:val="Bordered &amp; Lined - Accent 3"/>
    <w:basedOn w:val="6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44" w:customStyle="1">
    <w:name w:val="Bordered &amp; Lined - Accent 4"/>
    <w:basedOn w:val="6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45" w:customStyle="1">
    <w:name w:val="Bordered &amp; Lined - Accent 5"/>
    <w:basedOn w:val="6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46" w:customStyle="1">
    <w:name w:val="Bordered &amp; Lined - Accent 6"/>
    <w:basedOn w:val="6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47" w:customStyle="1">
    <w:name w:val="Bordered"/>
    <w:basedOn w:val="684"/>
    <w:uiPriority w:val="99"/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48" w:customStyle="1">
    <w:name w:val="Bordered - Accent 1"/>
    <w:basedOn w:val="684"/>
    <w:uiPriority w:val="99"/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49" w:customStyle="1">
    <w:name w:val="Bordered - Accent 2"/>
    <w:basedOn w:val="684"/>
    <w:uiPriority w:val="99"/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</w:style>
  <w:style w:type="table" w:styleId="850" w:customStyle="1">
    <w:name w:val="Bordered - Accent 3"/>
    <w:basedOn w:val="684"/>
    <w:uiPriority w:val="99"/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</w:style>
  <w:style w:type="table" w:styleId="851" w:customStyle="1">
    <w:name w:val="Bordered - Accent 4"/>
    <w:basedOn w:val="684"/>
    <w:uiPriority w:val="99"/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</w:style>
  <w:style w:type="table" w:styleId="852" w:customStyle="1">
    <w:name w:val="Bordered - Accent 5"/>
    <w:basedOn w:val="684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</w:style>
  <w:style w:type="table" w:styleId="853" w:customStyle="1">
    <w:name w:val="Bordered - Accent 6"/>
    <w:basedOn w:val="684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</w:style>
  <w:style w:type="character" w:styleId="854">
    <w:name w:val="Hyperlink"/>
    <w:uiPriority w:val="99"/>
    <w:unhideWhenUsed/>
    <w:rPr>
      <w:color w:val="0000ff"/>
      <w:u w:val="single"/>
    </w:rPr>
  </w:style>
  <w:style w:type="paragraph" w:styleId="855">
    <w:name w:val="footnote text"/>
    <w:basedOn w:val="673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673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673"/>
    <w:next w:val="673"/>
    <w:uiPriority w:val="39"/>
    <w:unhideWhenUsed/>
    <w:pPr>
      <w:spacing w:after="57"/>
    </w:pPr>
  </w:style>
  <w:style w:type="paragraph" w:styleId="862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63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64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65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66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67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68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69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73"/>
    <w:next w:val="673"/>
    <w:uiPriority w:val="99"/>
    <w:unhideWhenUsed/>
    <w:pPr>
      <w:spacing w:after="0"/>
    </w:pPr>
  </w:style>
  <w:style w:type="character" w:styleId="872" w:customStyle="1">
    <w:name w:val="WW8Num1z0"/>
    <w:rPr>
      <w:b w:val="0"/>
    </w:rPr>
  </w:style>
  <w:style w:type="character" w:styleId="873" w:customStyle="1">
    <w:name w:val="WW8Num1z1"/>
  </w:style>
  <w:style w:type="character" w:styleId="874" w:customStyle="1">
    <w:name w:val="WW8Num1z2"/>
  </w:style>
  <w:style w:type="character" w:styleId="875" w:customStyle="1">
    <w:name w:val="WW8Num1z3"/>
  </w:style>
  <w:style w:type="character" w:styleId="876" w:customStyle="1">
    <w:name w:val="WW8Num1z4"/>
  </w:style>
  <w:style w:type="character" w:styleId="877" w:customStyle="1">
    <w:name w:val="WW8Num1z5"/>
  </w:style>
  <w:style w:type="character" w:styleId="878" w:customStyle="1">
    <w:name w:val="WW8Num1z6"/>
  </w:style>
  <w:style w:type="character" w:styleId="879" w:customStyle="1">
    <w:name w:val="WW8Num1z7"/>
  </w:style>
  <w:style w:type="character" w:styleId="880" w:customStyle="1">
    <w:name w:val="WW8Num1z8"/>
  </w:style>
  <w:style w:type="character" w:styleId="881" w:customStyle="1">
    <w:name w:val="WW8Num2z0"/>
  </w:style>
  <w:style w:type="character" w:styleId="882" w:customStyle="1">
    <w:name w:val="WW8Num2z1"/>
  </w:style>
  <w:style w:type="character" w:styleId="883" w:customStyle="1">
    <w:name w:val="WW8Num2z2"/>
  </w:style>
  <w:style w:type="character" w:styleId="884" w:customStyle="1">
    <w:name w:val="WW8Num2z3"/>
  </w:style>
  <w:style w:type="character" w:styleId="885" w:customStyle="1">
    <w:name w:val="WW8Num2z4"/>
  </w:style>
  <w:style w:type="character" w:styleId="886" w:customStyle="1">
    <w:name w:val="WW8Num2z5"/>
  </w:style>
  <w:style w:type="character" w:styleId="887" w:customStyle="1">
    <w:name w:val="WW8Num2z6"/>
  </w:style>
  <w:style w:type="character" w:styleId="888" w:customStyle="1">
    <w:name w:val="WW8Num2z7"/>
  </w:style>
  <w:style w:type="character" w:styleId="889" w:customStyle="1">
    <w:name w:val="WW8Num2z8"/>
  </w:style>
  <w:style w:type="character" w:styleId="890" w:customStyle="1">
    <w:name w:val="WW8Num3z0"/>
    <w:rPr>
      <w:rFonts w:ascii="Times New Roman" w:hAnsi="Times New Roman" w:eastAsia="Times New Roman" w:cs="Times New Roman"/>
    </w:rPr>
  </w:style>
  <w:style w:type="character" w:styleId="891" w:customStyle="1">
    <w:name w:val="WW8Num3z2"/>
  </w:style>
  <w:style w:type="character" w:styleId="892" w:customStyle="1">
    <w:name w:val="WW8Num4z0"/>
  </w:style>
  <w:style w:type="character" w:styleId="893" w:customStyle="1">
    <w:name w:val="WW8Num4z1"/>
  </w:style>
  <w:style w:type="character" w:styleId="894" w:customStyle="1">
    <w:name w:val="WW8Num4z2"/>
  </w:style>
  <w:style w:type="character" w:styleId="895" w:customStyle="1">
    <w:name w:val="WW8Num4z3"/>
  </w:style>
  <w:style w:type="character" w:styleId="896" w:customStyle="1">
    <w:name w:val="WW8Num4z4"/>
  </w:style>
  <w:style w:type="character" w:styleId="897" w:customStyle="1">
    <w:name w:val="WW8Num4z5"/>
  </w:style>
  <w:style w:type="character" w:styleId="898" w:customStyle="1">
    <w:name w:val="WW8Num4z6"/>
  </w:style>
  <w:style w:type="character" w:styleId="899" w:customStyle="1">
    <w:name w:val="WW8Num4z7"/>
  </w:style>
  <w:style w:type="character" w:styleId="900" w:customStyle="1">
    <w:name w:val="WW8Num4z8"/>
  </w:style>
  <w:style w:type="character" w:styleId="901" w:customStyle="1">
    <w:name w:val="WW8Num5z0"/>
  </w:style>
  <w:style w:type="character" w:styleId="902" w:customStyle="1">
    <w:name w:val="WW8Num5z1"/>
  </w:style>
  <w:style w:type="character" w:styleId="903" w:customStyle="1">
    <w:name w:val="WW8Num5z2"/>
  </w:style>
  <w:style w:type="character" w:styleId="904" w:customStyle="1">
    <w:name w:val="WW8Num5z3"/>
  </w:style>
  <w:style w:type="character" w:styleId="905" w:customStyle="1">
    <w:name w:val="WW8Num5z4"/>
  </w:style>
  <w:style w:type="character" w:styleId="906" w:customStyle="1">
    <w:name w:val="WW8Num5z5"/>
  </w:style>
  <w:style w:type="character" w:styleId="907" w:customStyle="1">
    <w:name w:val="WW8Num5z6"/>
  </w:style>
  <w:style w:type="character" w:styleId="908" w:customStyle="1">
    <w:name w:val="WW8Num5z7"/>
  </w:style>
  <w:style w:type="character" w:styleId="909" w:customStyle="1">
    <w:name w:val="WW8Num5z8"/>
  </w:style>
  <w:style w:type="character" w:styleId="910" w:customStyle="1">
    <w:name w:val="Текст выноски Знак"/>
    <w:rPr>
      <w:rFonts w:ascii="Tahoma" w:hAnsi="Tahoma" w:cs="Tahoma"/>
      <w:sz w:val="16"/>
      <w:szCs w:val="16"/>
    </w:rPr>
  </w:style>
  <w:style w:type="character" w:styleId="911" w:customStyle="1">
    <w:name w:val="Основной текст с отступом Знак"/>
    <w:rPr>
      <w:rFonts w:ascii="Times New Roman" w:hAnsi="Times New Roman" w:eastAsia="Times New Roman" w:cs="Times New Roman"/>
      <w:sz w:val="28"/>
      <w:szCs w:val="20"/>
    </w:rPr>
  </w:style>
  <w:style w:type="character" w:styleId="912" w:customStyle="1">
    <w:name w:val="Интернет-ссылка"/>
    <w:rPr>
      <w:color w:val="0000ff"/>
      <w:u w:val="single"/>
    </w:rPr>
  </w:style>
  <w:style w:type="character" w:styleId="913" w:customStyle="1">
    <w:name w:val="usercart-short"/>
    <w:basedOn w:val="683"/>
  </w:style>
  <w:style w:type="character" w:styleId="914" w:customStyle="1">
    <w:name w:val="post-data-info"/>
    <w:basedOn w:val="683"/>
  </w:style>
  <w:style w:type="character" w:styleId="915" w:customStyle="1">
    <w:name w:val="Основной текст 2 Знак"/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916" w:customStyle="1">
    <w:name w:val="Без интервала Знак"/>
    <w:rPr>
      <w:sz w:val="22"/>
      <w:szCs w:val="22"/>
      <w:lang w:val="ru-RU" w:bidi="ar-SA"/>
    </w:rPr>
  </w:style>
  <w:style w:type="character" w:styleId="917">
    <w:name w:val="annotation reference"/>
    <w:rPr>
      <w:sz w:val="16"/>
      <w:szCs w:val="16"/>
    </w:rPr>
  </w:style>
  <w:style w:type="character" w:styleId="918" w:customStyle="1">
    <w:name w:val="Текст примечания Знак"/>
    <w:rPr>
      <w:sz w:val="20"/>
      <w:szCs w:val="20"/>
    </w:rPr>
  </w:style>
  <w:style w:type="character" w:styleId="919" w:customStyle="1">
    <w:name w:val="Тема примечания Знак"/>
    <w:rPr>
      <w:b/>
      <w:bCs/>
      <w:sz w:val="20"/>
      <w:szCs w:val="20"/>
    </w:rPr>
  </w:style>
  <w:style w:type="character" w:styleId="920" w:customStyle="1">
    <w:name w:val="Верхний колонтитул Знак"/>
    <w:rPr>
      <w:rFonts w:ascii="Times New Roman" w:hAnsi="Times New Roman" w:eastAsia="Times New Roman" w:cs="Times New Roman"/>
      <w:lang w:val="en-US"/>
    </w:rPr>
  </w:style>
  <w:style w:type="character" w:styleId="921" w:customStyle="1">
    <w:name w:val="ConsPlusNormal Знак"/>
    <w:rPr>
      <w:rFonts w:eastAsia="Times New Roman"/>
      <w:sz w:val="22"/>
      <w:lang w:bidi="ar-SA"/>
    </w:rPr>
  </w:style>
  <w:style w:type="paragraph" w:styleId="922" w:customStyle="1">
    <w:name w:val="Заголовок"/>
    <w:basedOn w:val="673"/>
    <w:next w:val="923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923">
    <w:name w:val="Body Text"/>
    <w:basedOn w:val="673"/>
    <w:pPr>
      <w:spacing w:after="140"/>
    </w:pPr>
  </w:style>
  <w:style w:type="paragraph" w:styleId="924">
    <w:name w:val="List"/>
    <w:basedOn w:val="923"/>
    <w:rPr>
      <w:rFonts w:cs="Droid Sans Devanagari"/>
    </w:rPr>
  </w:style>
  <w:style w:type="paragraph" w:styleId="925">
    <w:name w:val="index heading"/>
    <w:basedOn w:val="673"/>
    <w:pPr>
      <w:suppressLineNumbers/>
    </w:pPr>
    <w:rPr>
      <w:rFonts w:cs="Droid Sans Devanagari"/>
    </w:rPr>
  </w:style>
  <w:style w:type="paragraph" w:styleId="926">
    <w:name w:val="Balloon Text"/>
    <w:basedOn w:val="67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927">
    <w:name w:val="Body Text Indent"/>
    <w:basedOn w:val="673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928" w:customStyle="1">
    <w:name w:val="pcenter"/>
    <w:basedOn w:val="673"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929" w:customStyle="1">
    <w:name w:val="ConsPlusNormal"/>
    <w:pPr>
      <w:widowControl w:val="off"/>
    </w:pPr>
    <w:rPr>
      <w:rFonts w:ascii="Calibri" w:hAnsi="Calibri"/>
      <w:sz w:val="22"/>
      <w:lang w:eastAsia="zh-CN"/>
    </w:rPr>
  </w:style>
  <w:style w:type="paragraph" w:styleId="930">
    <w:name w:val="Body Text 2"/>
    <w:basedOn w:val="673"/>
    <w:pPr>
      <w:jc w:val="both"/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paragraph" w:styleId="931">
    <w:name w:val="annotation text"/>
    <w:basedOn w:val="673"/>
    <w:pPr>
      <w:spacing w:line="240" w:lineRule="auto"/>
    </w:pPr>
    <w:rPr>
      <w:sz w:val="20"/>
      <w:szCs w:val="20"/>
      <w:lang w:val="en-US"/>
    </w:rPr>
  </w:style>
  <w:style w:type="paragraph" w:styleId="932">
    <w:name w:val="annotation subject"/>
    <w:basedOn w:val="931"/>
    <w:next w:val="931"/>
    <w:rPr>
      <w:b/>
      <w:bCs/>
    </w:rPr>
  </w:style>
  <w:style w:type="paragraph" w:styleId="933" w:customStyle="1">
    <w:name w:val="Верхний и нижний колонтитулы"/>
    <w:basedOn w:val="673"/>
    <w:pPr>
      <w:tabs>
        <w:tab w:val="center" w:pos="4819" w:leader="none"/>
        <w:tab w:val="right" w:pos="9638" w:leader="none"/>
      </w:tabs>
      <w:suppressLineNumbers/>
    </w:pPr>
  </w:style>
  <w:style w:type="paragraph" w:styleId="934" w:customStyle="1">
    <w:name w:val="ConsPlusNonformat"/>
    <w:rPr>
      <w:rFonts w:ascii="Courier New" w:hAnsi="Courier New" w:eastAsia="Calibri" w:cs="Courier New"/>
      <w:lang w:eastAsia="zh-CN"/>
    </w:rPr>
  </w:style>
  <w:style w:type="paragraph" w:styleId="935">
    <w:name w:val="Normal (Web)"/>
    <w:basedOn w:val="673"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936" w:customStyle="1">
    <w:name w:val="Содержимое таблицы"/>
    <w:basedOn w:val="673"/>
    <w:pPr>
      <w:suppressLineNumbers/>
    </w:pPr>
  </w:style>
  <w:style w:type="paragraph" w:styleId="937" w:customStyle="1">
    <w:name w:val="Заголовок таблицы"/>
    <w:basedOn w:val="936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revision>614</cp:revision>
  <dcterms:created xsi:type="dcterms:W3CDTF">2019-01-21T01:31:00Z</dcterms:created>
  <dcterms:modified xsi:type="dcterms:W3CDTF">2024-11-20T13:17:04Z</dcterms:modified>
</cp:coreProperties>
</file>