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постановлению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«Утверждена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Правительства Новосибирской области от ____________ № 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7"/>
        <w:ind w:left="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7"/>
        <w:ind w:left="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877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Start w:id="8" w:name="Par516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bookmarkEnd w:id="8"/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ТАБЛИЦА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77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ПОКАЗАТЕЛЕЙ ЭФФЕКТИВНОСТИ ОРГАНИЗАЦИИ ОКАЗАНИЯ </w:t>
        <w:br/>
        <w:t xml:space="preserve">ГОСУДАРСТВЕННОЙ УСЛУГИ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  <w:br/>
        <w:t xml:space="preserve">«ОРГАНИЗАЦИЯ СОПРОВОЖДЕНИЯ ПРИ СОДЕЙСТВИИ ЗАНЯТОСТИ ИНВАЛИДОВ»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77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268"/>
        <w:gridCol w:w="2268"/>
        <w:gridCol w:w="6094"/>
      </w:tblGrid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Показатели эффективности организации оказания государственной услуги в социальной сфере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4535" w:type="dxa"/>
            <w:vAlign w:val="center"/>
            <w:textDirection w:val="lrTb"/>
            <w:noWrap w:val="false"/>
          </w:tcPr>
          <w:p>
            <w:pPr>
              <w:pStyle w:val="87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Значения показателей эффективности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организации оказания государственной услуги в социальной сфере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6094" w:type="dxa"/>
            <w:vAlign w:val="center"/>
            <w:textDirection w:val="lrTb"/>
            <w:noWrap w:val="false"/>
          </w:tcPr>
          <w:p>
            <w:pPr>
              <w:pStyle w:val="87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План достижения показателей эффективности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организации оказания государственной услуги в социальной сфере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(до начала реализации Федерального закона № 189-ФЗ)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Плановое значение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6094" w:type="dxa"/>
            <w:vAlign w:val="center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некоммерческих организаций, за исключением государственных (муниципальных) учреждений (далее – некоммерческие организации), оказывающих государственную услугу в социальной сфере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некоммерческих организаций,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оказывающих государственную услугу в социальной сфере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условий для взаимодействия с некоммерческими организациями, информирование некоммерческих организаций о возможност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и участия в реализации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Федерального закона от 13.07.2020 № 189-ФЗ «О государственном (муниципальном) социальном заказе на оказание государственных (м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униципальных) услуг в социальной сфере»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не менее 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6094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877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Усиление конкуренции между некоммерческими организациями и государственными учреждениями занятости населения при выборе получателями государственной услуги в социальной сфере исполнителей государственной услуги в социальной сфере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получателей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государственной услуги в социальной сфере выбирают в качестве исполнителей государственной услуги в социальной сфере некоммерческие организации</w:t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Установление требований к условиям и порядку оказания государственной услуги в социальной сфере, мониторинг и оценка их соблюдения исполнителями государственной услуги в социальной сфере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50%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6094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877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Востребованность государственной услуги в социальной сфере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Увеличение числа граждан, обратившихся за получением государственной услуги в социальной сфере </w:t>
            </w:r>
            <w:r/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Проведение информационной кампании для потенциальных получателей государственной услуги в социальной сфере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+1% ежегодно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не менее +5% ежегодно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6094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877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Рост удовлетворенности граждан оказанием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государственных услуг в социальной сфере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877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роцент получателей государственной услуги в социальной сфере,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удовлетворенных качеством оказания государственных услуг в социальной сфере, от общего числа получателей государственной услуги в социальной сфере, определенный по результатам мониторинга удовлетворенности потребителей</w:t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609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Создание механизмов обратной связи исполнителей государственной услуги в социальной сфере с получателями государственной услуги в социальной сфере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411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70%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77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не менее 95%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877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6094" w:type="dxa"/>
            <w:vMerge w:val="continue"/>
            <w:textDirection w:val="lrTb"/>
            <w:noWrap w:val="false"/>
          </w:tcPr>
          <w:p>
            <w:r/>
          </w:p>
        </w:tc>
      </w:tr>
    </w:tbl>
    <w:p>
      <w:pPr>
        <w:pStyle w:val="877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white"/>
        </w:rPr>
      </w:r>
    </w:p>
    <w:p>
      <w:pPr>
        <w:pStyle w:val="877"/>
        <w:ind w:lef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77"/>
        <w:ind w:left="0"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cs="Times New Roman"/>
          <w:szCs w:val="28"/>
          <w:highlight w:val="white"/>
          <w:lang w:eastAsia="en-US"/>
        </w:rPr>
        <w:t xml:space="preserve">_________».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6838" w:h="11906" w:orient="landscape"/>
      <w:pgMar w:top="1134" w:right="1134" w:bottom="567" w:left="1134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Liberation Sans">
    <w:panose1 w:val="020B060402020202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Times New Roman" w:hAnsi="Times New Roman" w:cs="Times New Roman"/>
        <w:sz w:val="20"/>
        <w:szCs w:val="20"/>
      </w:rPr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0"/>
    <w:next w:val="870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0"/>
    <w:next w:val="870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0"/>
    <w:next w:val="870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0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character" w:styleId="725">
    <w:name w:val="Caption Char"/>
    <w:basedOn w:val="875"/>
    <w:link w:val="723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widowControl w:val="off"/>
    </w:pPr>
    <w:rPr>
      <w:rFonts w:ascii="Liberation Serif" w:hAnsi="Liberation Serif" w:eastAsia="Tahoma" w:cs="Droid Sans Devanagari"/>
      <w:color w:val="auto"/>
      <w:sz w:val="24"/>
      <w:szCs w:val="24"/>
      <w:lang w:val="ru-RU" w:eastAsia="zh-CN" w:bidi="hi-IN"/>
    </w:rPr>
  </w:style>
  <w:style w:type="character" w:styleId="871">
    <w:name w:val="Интернет-ссылка"/>
    <w:rPr>
      <w:color w:val="000080"/>
      <w:u w:val="single"/>
    </w:rPr>
  </w:style>
  <w:style w:type="paragraph" w:styleId="872">
    <w:name w:val="Заголовок"/>
    <w:basedOn w:val="870"/>
    <w:next w:val="873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73">
    <w:name w:val="Body Text"/>
    <w:basedOn w:val="870"/>
    <w:pPr>
      <w:spacing w:before="0" w:after="140" w:line="276" w:lineRule="auto"/>
    </w:pPr>
  </w:style>
  <w:style w:type="paragraph" w:styleId="874">
    <w:name w:val="List"/>
    <w:basedOn w:val="873"/>
    <w:rPr>
      <w:rFonts w:cs="Droid Sans Devanagari"/>
    </w:rPr>
  </w:style>
  <w:style w:type="paragraph" w:styleId="875">
    <w:name w:val="Caption"/>
    <w:basedOn w:val="870"/>
    <w:link w:val="72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76">
    <w:name w:val="Указатель"/>
    <w:basedOn w:val="870"/>
    <w:qFormat/>
    <w:pPr>
      <w:suppressLineNumbers/>
    </w:pPr>
    <w:rPr>
      <w:rFonts w:cs="Droid Sans Devanagari"/>
    </w:rPr>
  </w:style>
  <w:style w:type="paragraph" w:styleId="877">
    <w:name w:val="ConsPlusNormal"/>
    <w:qFormat/>
    <w:pPr>
      <w:widowControl w:val="off"/>
    </w:pPr>
    <w:rPr>
      <w:rFonts w:ascii="Arial" w:hAnsi="Arial" w:eastAsia="Arial" w:cs="Courier New"/>
      <w:b w:val="0"/>
      <w:i w:val="0"/>
      <w:strike w:val="0"/>
      <w:color w:val="auto"/>
      <w:sz w:val="16"/>
      <w:szCs w:val="24"/>
      <w:u w:val="none"/>
      <w:lang w:val="ru-RU" w:eastAsia="zh-CN" w:bidi="hi-IN"/>
    </w:rPr>
  </w:style>
  <w:style w:type="paragraph" w:styleId="878">
    <w:name w:val="ConsPlusNonformat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879">
    <w:name w:val="ConsPlusTitle"/>
    <w:qFormat/>
    <w:pPr>
      <w:widowControl w:val="off"/>
    </w:pPr>
    <w:rPr>
      <w:rFonts w:ascii="Arial" w:hAnsi="Arial" w:eastAsia="Arial" w:cs="Courier New"/>
      <w:b/>
      <w:i w:val="0"/>
      <w:strike w:val="0"/>
      <w:color w:val="auto"/>
      <w:sz w:val="16"/>
      <w:szCs w:val="24"/>
      <w:u w:val="none"/>
      <w:lang w:val="ru-RU" w:eastAsia="zh-CN" w:bidi="hi-IN"/>
    </w:rPr>
  </w:style>
  <w:style w:type="paragraph" w:styleId="880">
    <w:name w:val="ConsPlusCell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881">
    <w:name w:val="ConsPlusDocList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16"/>
      <w:szCs w:val="24"/>
      <w:u w:val="none"/>
      <w:lang w:val="ru-RU" w:eastAsia="zh-CN" w:bidi="hi-IN"/>
    </w:rPr>
  </w:style>
  <w:style w:type="paragraph" w:styleId="882">
    <w:name w:val="ConsPlusTitlePage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16"/>
      <w:szCs w:val="24"/>
      <w:u w:val="none"/>
      <w:lang w:val="ru-RU" w:eastAsia="zh-CN" w:bidi="hi-IN"/>
    </w:rPr>
  </w:style>
  <w:style w:type="paragraph" w:styleId="883">
    <w:name w:val="ConsPlusJurTerm"/>
    <w:qFormat/>
    <w:pPr>
      <w:widowControl w:val="off"/>
    </w:pPr>
    <w:rPr>
      <w:rFonts w:ascii="Arial" w:hAnsi="Arial" w:eastAsia="Arial" w:cs="Courier New"/>
      <w:b w:val="0"/>
      <w:i w:val="0"/>
      <w:strike w:val="0"/>
      <w:color w:val="auto"/>
      <w:sz w:val="26"/>
      <w:szCs w:val="24"/>
      <w:u w:val="none"/>
      <w:lang w:val="ru-RU" w:eastAsia="zh-CN" w:bidi="hi-IN"/>
    </w:rPr>
  </w:style>
  <w:style w:type="paragraph" w:styleId="884">
    <w:name w:val="ConsPlusTextList"/>
    <w:qFormat/>
    <w:pPr>
      <w:widowControl w:val="off"/>
    </w:pPr>
    <w:rPr>
      <w:rFonts w:ascii="Arial" w:hAnsi="Arial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4024.00.31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28.12.2020 N 558-п(ред. от 19.09.2023)"Об организации оказания государственных услуг в социальной сфере на территории Новосибирской области"</dc:title>
  <dc:subject/>
  <dc:creator/>
  <dc:description/>
  <dc:language>ru-RU</dc:language>
  <cp:revision>5</cp:revision>
  <dcterms:created xsi:type="dcterms:W3CDTF">2024-08-28T11:10:00Z</dcterms:created>
  <dcterms:modified xsi:type="dcterms:W3CDTF">2025-01-30T09:32:39Z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4024.00.31</vt:lpwstr>
  </property>
</Properties>
</file>