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48" w:type="pct"/>
        <w:tblLook w:val="00A0" w:firstRow="1" w:lastRow="0" w:firstColumn="1" w:lastColumn="0" w:noHBand="0" w:noVBand="0"/>
      </w:tblPr>
      <w:tblGrid>
        <w:gridCol w:w="1452"/>
        <w:gridCol w:w="6758"/>
        <w:gridCol w:w="578"/>
        <w:gridCol w:w="1244"/>
      </w:tblGrid>
      <w:tr>
        <w:trPr>
          <w:trHeight w:val="2698"/>
        </w:trPr>
        <w:tc>
          <w:tcPr>
            <w:tcW w:w="5000" w:type="pct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724" w:type="pct"/>
            <w:tcBorders>
              <w:bottom w:val="single" w:color="000000" w:sz="4" w:space="0"/>
            </w:tcBorders>
          </w:tcPr>
          <w:p>
            <w:pPr>
              <w:ind w:left="-125" w:right="-136"/>
              <w:rPr>
                <w:sz w:val="28"/>
                <w:szCs w:val="28"/>
              </w:rPr>
            </w:pPr>
          </w:p>
        </w:tc>
        <w:tc>
          <w:tcPr>
            <w:tcW w:w="3368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</w:tc>
        <w:tc>
          <w:tcPr>
            <w:tcW w:w="620" w:type="pct"/>
            <w:tcBorders>
              <w:bottom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5000" w:type="pct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  <w:lang w:val="en-US"/>
              </w:rPr>
              <w:t xml:space="preserve"> </w:t>
            </w:r>
            <w:r>
              <w:rPr>
                <w:sz w:val="28"/>
                <w:szCs w:val="28"/>
              </w:rPr>
              <w:t xml:space="preserve">Новосибирск</w:t>
            </w:r>
          </w:p>
        </w:tc>
      </w:tr>
    </w:tbl>
    <w:p>
      <w:pPr>
        <w:pStyle w:val="2"/>
        <w:spacing w:before="0" w:after="0"/>
        <w:jc w:val="center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министерства труда и социального развития 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05.02.2019 № 90</w:t>
      </w:r>
    </w:p>
    <w:p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</w:p>
    <w:p>
      <w:pPr>
        <w:rPr>
          <w:sz w:val="28"/>
          <w:szCs w:val="28"/>
        </w:rPr>
      </w:pP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приказ министерства труда и социального раз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вития Новосибирской области от 05.02.2019 № 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государственных заданий для государственных учреждений Новосибирской области, подведомственных министерству труда и социального развития Новосибирской области и Порядка внесения изменений в государственные задания для государственных учреждений Новосибирской области, подведомственных министерству труда и социального развития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следующие изменения: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Пункт 3 изложить в следующей редакции: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«3. Контроль за исполнением настоящего приказа возложить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начальника управления комплексного анализа и социального проектирования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Савченко Т.А.».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формирования государственных заданий для государственных учреждений Новосибирской области, подведомственных министерству труда и социального развития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изложить в редакции согласно приложению к настоящему приказу.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 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внесения изменений в государственные задания для государственных учреждений Новосибирской области, подведомственных министерству труда и социального развития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изложить в редакции согласно приложению к настоящему приказу.</w:t>
      </w: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  <w:sectPr>
          <w:pgSz w:w="11906" w:h="16838"/>
          <w:pgMar w:top="1134" w:right="567" w:bottom="1134" w:left="1418" w:header="709" w:footer="709" w:gutter="0"/>
          <w:cols w:space="708"/>
          <w:docGrid w:linePitch="360"/>
          <w:titlePg/>
        </w:sect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Е.В. Бахарева</w:t>
      </w:r>
    </w:p>
    <w:tbl>
      <w:tblPr>
        <w:tblW w:w="3935" w:type="dxa"/>
        <w:tblInd w:w="11061" w:type="dxa"/>
        <w:tblLayout w:type="fixed"/>
        <w:tblLook w:val="04A0" w:firstRow="1" w:lastRow="0" w:firstColumn="1" w:lastColumn="0" w:noHBand="0" w:noVBand="1"/>
      </w:tblPr>
      <w:tblGrid>
        <w:gridCol w:w="3935"/>
      </w:tblGrid>
      <w:tr>
        <w:trPr>
          <w:trHeight w:val="3274"/>
        </w:trPr>
        <w:tc>
          <w:tcPr>
            <w:tcW w:w="393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</w:t>
            </w:r>
          </w:p>
          <w:p>
            <w:pPr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 приказу министерства труда и социального развития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Новосибирской области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«___»____2025 № ____</w:t>
            </w:r>
          </w:p>
          <w:p>
            <w:pPr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«УТВЕРЖДЕН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приказом министерства труда и социального развития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Новосибирской области</w:t>
            </w: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05.02.2019 № 90</w:t>
            </w:r>
          </w:p>
          <w:p>
            <w:pPr>
              <w:rPr>
                <w:rFonts w:ascii="Calibri" w:hAnsi="Calibri"/>
                <w:color w:val="auto"/>
                <w:sz w:val="28"/>
                <w:szCs w:val="28"/>
              </w:rPr>
            </w:pPr>
          </w:p>
          <w:p>
            <w:pPr>
              <w:rPr>
                <w:rFonts w:ascii="Calibri" w:hAnsi="Calibri"/>
                <w:color w:val="auto"/>
                <w:sz w:val="28"/>
                <w:szCs w:val="28"/>
              </w:rPr>
            </w:pPr>
          </w:p>
          <w:p>
            <w:pPr>
              <w:rPr>
                <w:rFonts w:ascii="Calibri" w:hAnsi="Calibri"/>
                <w:color w:val="auto"/>
                <w:sz w:val="28"/>
                <w:szCs w:val="28"/>
              </w:rPr>
            </w:pPr>
          </w:p>
          <w:p>
            <w:pPr>
              <w:spacing w:after="200" w:line="276" w:lineRule="auto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формирования государственных заданий </w:t>
      </w: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для государственных учреждений Новосибирской области, подведомственных </w:t>
      </w: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министерству труда и социального развития Новосибирской области</w:t>
      </w: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</w:p>
    <w:tbl>
      <w:tblPr>
        <w:tblW w:w="14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124"/>
        <w:gridCol w:w="2835"/>
        <w:gridCol w:w="5103"/>
      </w:tblGrid>
      <w:tr>
        <w:tc>
          <w:tcPr>
            <w:tcW w:w="647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п/п</w:t>
            </w:r>
          </w:p>
        </w:tc>
        <w:tc>
          <w:tcPr>
            <w:tcW w:w="6124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Наименование мероприятия</w:t>
            </w:r>
          </w:p>
        </w:tc>
        <w:tc>
          <w:tcPr>
            <w:tcW w:w="2835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Срок </w:t>
            </w:r>
          </w:p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исполнения</w:t>
            </w:r>
          </w:p>
        </w:tc>
        <w:tc>
          <w:tcPr>
            <w:tcW w:w="5103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Ответственный </w:t>
            </w:r>
          </w:p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исполнитель</w:t>
            </w:r>
          </w:p>
        </w:tc>
      </w:tr>
      <w:tr>
        <w:tc>
          <w:tcPr>
            <w:tcW w:w="647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1.</w:t>
            </w:r>
          </w:p>
        </w:tc>
        <w:tc>
          <w:tcPr>
            <w:tcW w:w="6124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Формирование и направление предложений от учреждений, подведомственных министерству труда и социального развития Новосибирской области, по содержанию государственного задания в части:</w:t>
            </w:r>
          </w:p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- категорий потребителей государственных услуг (работ);</w:t>
            </w:r>
          </w:p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- объема основных видов государственных услуг(работ) и социальных услуг на очередной финансовый год в соответствии с основными видами деятельности </w:t>
            </w:r>
            <w:r>
              <w:rPr>
                <w:color w:val="auto"/>
              </w:rPr>
              <w:t xml:space="preserve">государственных учреждений, установленными Уставами данных учреждений;</w:t>
            </w:r>
          </w:p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- требований к материально-техническому обеспечению оказываемой государственной услуги (работы)</w:t>
            </w:r>
          </w:p>
        </w:tc>
        <w:tc>
          <w:tcPr>
            <w:tcW w:w="2835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До 10 ноября года, предшествующего очередному финансовому году</w:t>
            </w:r>
          </w:p>
        </w:tc>
        <w:tc>
          <w:tcPr>
            <w:tcW w:w="5103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Первый заместитель министра, заместители министра и руководители структурных подразделений, курирующих государственные учреждения Новосибирской области, подведомственные министерству труда и социального развития Новосибирской области (далее – подведомственные учреждения, министерство)</w:t>
            </w:r>
          </w:p>
        </w:tc>
      </w:tr>
      <w:tr>
        <w:tc>
          <w:tcPr>
            <w:tcW w:w="647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2.</w:t>
            </w:r>
          </w:p>
        </w:tc>
        <w:tc>
          <w:tcPr>
            <w:tcW w:w="6124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Подготовка предложений по содержанию государственного задания в части </w:t>
            </w:r>
            <w:r>
              <w:rPr>
                <w:color w:val="auto"/>
                <w:sz w:val="28"/>
                <w:szCs w:val="28"/>
              </w:rPr>
              <w:t xml:space="preserve">о</w:t>
            </w:r>
            <w:r>
              <w:rPr>
                <w:color w:val="auto"/>
              </w:rPr>
              <w:t xml:space="preserve">бъема финансового обеспечения выполнения государственного задания на очередной финансовый год</w:t>
            </w:r>
          </w:p>
        </w:tc>
        <w:tc>
          <w:tcPr>
            <w:tcW w:w="2835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До 1 декабря года, предшествующего очередному финансовому году</w:t>
            </w:r>
          </w:p>
        </w:tc>
        <w:tc>
          <w:tcPr>
            <w:tcW w:w="5103" w:type="dxa"/>
          </w:tcPr>
          <w:p>
            <w:pPr>
              <w:ind w:left="34"/>
              <w:rPr>
                <w:bCs/>
                <w:color w:val="auto"/>
              </w:rPr>
            </w:pPr>
            <w:r>
              <w:rPr>
                <w:color w:val="auto"/>
              </w:rPr>
              <w:t xml:space="preserve">Начальник планово-финансового управления</w:t>
            </w:r>
          </w:p>
        </w:tc>
      </w:tr>
      <w:tr>
        <w:trPr>
          <w:trHeight w:val="140"/>
        </w:trPr>
        <w:tc>
          <w:tcPr>
            <w:tcW w:w="647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3.</w:t>
            </w:r>
          </w:p>
        </w:tc>
        <w:tc>
          <w:tcPr>
            <w:tcW w:w="6124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Подготовка, согласование и утверждение проекта приказа министерства об утверждении государственного задания подведомственного учреждения в структурных подразделениях министерства</w:t>
            </w:r>
          </w:p>
        </w:tc>
        <w:tc>
          <w:tcPr>
            <w:tcW w:w="2835" w:type="dxa"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До 28 декабря года, предшествующего очередному финансовому году</w:t>
            </w:r>
          </w:p>
        </w:tc>
        <w:tc>
          <w:tcPr>
            <w:tcW w:w="5103" w:type="dxa"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</w:tbl>
    <w:p>
      <w:pPr>
        <w:jc w:val="right"/>
        <w:rPr>
          <w:color w:val="auto"/>
          <w:sz w:val="28"/>
          <w:szCs w:val="28"/>
        </w:rPr>
      </w:pPr>
    </w:p>
    <w:p>
      <w:pPr>
        <w:jc w:val="right"/>
        <w:rPr>
          <w:color w:val="auto"/>
          <w:sz w:val="28"/>
          <w:szCs w:val="28"/>
        </w:rPr>
      </w:pPr>
    </w:p>
    <w:p>
      <w:pPr>
        <w:jc w:val="right"/>
        <w:rPr>
          <w:color w:val="auto"/>
          <w:sz w:val="28"/>
          <w:szCs w:val="28"/>
        </w:rPr>
      </w:pPr>
    </w:p>
    <w:p>
      <w:pPr>
        <w:spacing w:after="200" w:line="276" w:lineRule="auto"/>
        <w:jc w:val="center"/>
        <w:rPr>
          <w:color w:val="auto"/>
          <w:sz w:val="28"/>
          <w:szCs w:val="28"/>
        </w:rPr>
        <w:sectPr>
          <w:head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  <w:titlePg/>
        </w:sectPr>
      </w:pPr>
      <w:r>
        <w:rPr>
          <w:color w:val="auto"/>
          <w:sz w:val="28"/>
          <w:szCs w:val="28"/>
        </w:rPr>
        <w:t xml:space="preserve">__________».</w:t>
      </w:r>
    </w:p>
    <w:p>
      <w:pPr>
        <w:ind w:firstLine="1091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</w:t>
      </w:r>
    </w:p>
    <w:p>
      <w:pPr>
        <w:ind w:firstLine="10773"/>
        <w:jc w:val="center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министерства </w:t>
      </w:r>
    </w:p>
    <w:p>
      <w:pPr>
        <w:ind w:firstLine="10773"/>
        <w:jc w:val="center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труда и социального развития</w:t>
      </w:r>
    </w:p>
    <w:p>
      <w:pPr>
        <w:ind w:firstLine="1077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Новосибирской области</w:t>
      </w:r>
    </w:p>
    <w:p>
      <w:pPr>
        <w:ind w:firstLine="1077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«___»____2025 № ____</w:t>
      </w:r>
    </w:p>
    <w:p>
      <w:pPr>
        <w:ind w:firstLine="10773"/>
        <w:jc w:val="center"/>
        <w:outlineLvl w:val="0"/>
        <w:rPr>
          <w:color w:val="auto"/>
          <w:sz w:val="28"/>
          <w:szCs w:val="28"/>
        </w:rPr>
      </w:pPr>
    </w:p>
    <w:p>
      <w:pPr>
        <w:ind w:firstLine="10773"/>
        <w:jc w:val="center"/>
        <w:outlineLvl w:val="0"/>
        <w:rPr>
          <w:color w:val="auto"/>
          <w:sz w:val="28"/>
          <w:szCs w:val="28"/>
        </w:rPr>
      </w:pPr>
    </w:p>
    <w:p>
      <w:pPr>
        <w:ind w:firstLine="10773"/>
        <w:jc w:val="center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«УТВЕРЖДЕН</w:t>
      </w:r>
    </w:p>
    <w:p>
      <w:pPr>
        <w:ind w:firstLine="1077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приказом министерства </w:t>
      </w:r>
    </w:p>
    <w:p>
      <w:pPr>
        <w:ind w:firstLine="1077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труда и социального развития</w:t>
      </w:r>
    </w:p>
    <w:p>
      <w:pPr>
        <w:ind w:firstLine="1077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Новосибирской области</w:t>
      </w:r>
    </w:p>
    <w:p>
      <w:pPr>
        <w:ind w:firstLine="1077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05.02.2019 № 90</w:t>
      </w:r>
    </w:p>
    <w:p>
      <w:pPr>
        <w:ind w:firstLine="10773"/>
        <w:jc w:val="center"/>
        <w:rPr>
          <w:color w:val="auto"/>
          <w:sz w:val="28"/>
          <w:szCs w:val="28"/>
        </w:rPr>
      </w:pPr>
    </w:p>
    <w:p>
      <w:pPr>
        <w:ind w:firstLine="10773"/>
        <w:jc w:val="center"/>
        <w:rPr>
          <w:color w:val="auto"/>
          <w:sz w:val="28"/>
          <w:szCs w:val="28"/>
        </w:rPr>
      </w:pP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 внесения изменений в государственное задание для государственных </w:t>
      </w: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учреждений Новосибирской области, подведомственных министерству труда и</w:t>
      </w: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социального развития Новосибирской области (далее – Порядок внесения изменений)</w:t>
      </w:r>
    </w:p>
    <w:p>
      <w:pPr>
        <w:tabs>
          <w:tab w:val="center" w:pos="4536"/>
          <w:tab w:val="right" w:pos="9072"/>
          <w:tab w:val="left" w:pos="10035"/>
          <w:tab w:val="left" w:pos="10065"/>
        </w:tabs>
        <w:jc w:val="center"/>
        <w:rPr>
          <w:b/>
          <w:color w:val="auto"/>
          <w:sz w:val="28"/>
          <w:szCs w:val="28"/>
        </w:rPr>
      </w:pPr>
    </w:p>
    <w:tbl>
      <w:tblPr>
        <w:tblW w:w="1507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7"/>
        <w:gridCol w:w="5309"/>
        <w:gridCol w:w="5020"/>
        <w:gridCol w:w="4162"/>
      </w:tblGrid>
      <w:tr>
        <w:trPr>
          <w:trHeight w:val="491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</w:t>
            </w:r>
          </w:p>
        </w:tc>
        <w:tc>
          <w:tcPr>
            <w:tcW w:w="502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</w:t>
            </w:r>
          </w:p>
        </w:tc>
        <w:tc>
          <w:tcPr>
            <w:tcW w:w="416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Ответственный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auto"/>
              </w:rPr>
              <w:t xml:space="preserve">исполнитель</w:t>
            </w:r>
          </w:p>
        </w:tc>
      </w:tr>
      <w:tr>
        <w:trPr>
          <w:trHeight w:val="559"/>
        </w:trPr>
        <w:tc>
          <w:tcPr>
            <w:tcW w:w="1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  <w:lang w:val="en-US"/>
              </w:rPr>
              <w:t xml:space="preserve"> </w:t>
            </w:r>
            <w:r>
              <w:rPr>
                <w:b/>
                <w:bCs/>
              </w:rPr>
              <w:t xml:space="preserve">Внесение изменений в нормативные правовые акты, на основании которых было сформировано государственное задание, влекущих за собой необходимость изменения значений показателей государственного задания, характеризующих качество и (или) объем оказываемых государственных услуг (выполняемых работ)</w:t>
            </w:r>
          </w:p>
        </w:tc>
      </w:tr>
      <w:tr>
        <w:trPr>
          <w:trHeight w:val="545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1.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Запрос предложений о необходимости внесения изменений в значения показателей государственного задания, </w:t>
            </w:r>
            <w:r>
              <w:rPr>
                <w:bCs/>
              </w:rPr>
              <w:t xml:space="preserve">характеризующих качество и (или) объем оказываемых государственных услуг (выполняемых работ), в связи с внесением </w:t>
            </w:r>
            <w:r>
              <w:t xml:space="preserve">изменений в </w:t>
            </w:r>
            <w:r>
              <w:rPr>
                <w:bCs/>
              </w:rPr>
              <w:t xml:space="preserve">нормативные правовые акты, на основании которых было сформировано государственное задание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1-го рабочего дня с момента внесения изменений в </w:t>
            </w:r>
            <w:r>
              <w:rPr>
                <w:bCs/>
              </w:rPr>
              <w:t xml:space="preserve">нормативные правовые акты, на основании которых было сформировано государственное задание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982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2.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Подготовка предложений о необходимости внесения изменений в государственное задание в связи с внесением </w:t>
            </w:r>
            <w:r>
              <w:rPr>
                <w:bCs/>
              </w:rPr>
              <w:t xml:space="preserve">изменений в нормативные правовые акты, на основании которых было сформировано государственное задание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служебной записки от управления комплексного анализа и социального проектирования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rPr>
                <w:rFonts w:ascii="Calibri" w:hAnsi="Calibri"/>
                <w:color w:val="auto"/>
              </w:rPr>
            </w:pPr>
            <w:r>
              <w:t xml:space="preserve">Первый заместитель министра, заместители министра, руководители структурных подразделений, курирующих </w:t>
            </w:r>
            <w:r>
              <w:rPr>
                <w:color w:val="auto"/>
              </w:rPr>
              <w:t xml:space="preserve">подведомственные учреждения министерства труда и социального развития Новосибирской области (далее – министерство, подведомственные учреждения)</w:t>
            </w:r>
          </w:p>
        </w:tc>
      </w:tr>
      <w:tr>
        <w:trPr>
          <w:trHeight w:val="53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3.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Направление информации об изменении государственного задания в управление </w:t>
            </w:r>
            <w:r>
              <w:rPr>
                <w:color w:val="auto"/>
              </w:rPr>
              <w:t xml:space="preserve">комплексного анализа и социального проектирования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от руководителей структурных подразделений предложений о необходимости внесения изменений в государственное задание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43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4.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Подготовка </w:t>
            </w:r>
            <w:r>
              <w:rPr>
                <w:color w:val="auto"/>
              </w:rPr>
              <w:t xml:space="preserve">предложений по внесению изменений в государственное задание в части объема финансового обеспечения выполнения государственного задания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информации об изменении государственного задания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планово-финансового управления</w:t>
            </w:r>
          </w:p>
        </w:tc>
      </w:tr>
      <w:tr>
        <w:trPr>
          <w:trHeight w:val="98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5.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Подготовка, согласование и утверждение проекта приказа министерства о внесении изменений в государственное задание подведомственного учреждения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4-х рабочих дней со дня получения служебной записки </w:t>
            </w:r>
            <w:r>
              <w:rPr>
                <w:color w:val="auto"/>
              </w:rPr>
              <w:t xml:space="preserve">по внесению изменений в государственное задание в части </w:t>
            </w:r>
            <w:r>
              <w:rPr>
                <w:color w:val="auto"/>
                <w:sz w:val="22"/>
                <w:szCs w:val="28"/>
              </w:rPr>
              <w:t xml:space="preserve">о</w:t>
            </w:r>
            <w:r>
              <w:rPr>
                <w:color w:val="auto"/>
              </w:rPr>
              <w:t xml:space="preserve">бъема финансового обеспечения выполнения государственного задания</w:t>
            </w:r>
            <w:r>
              <w:t xml:space="preserve"> (2-а дня подготовка проекта, 2-а дня согласование проекта)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245"/>
        </w:trPr>
        <w:tc>
          <w:tcPr>
            <w:tcW w:w="1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  <w:lang w:val="en-US"/>
              </w:rPr>
              <w:t xml:space="preserve"> </w:t>
            </w:r>
            <w:r>
              <w:rPr>
                <w:b/>
                <w:bCs/>
              </w:rPr>
              <w:t xml:space="preserve">Внесение изменений в государственное задание при изменении размера бюджетных ассигнований, предусмотренных законом Новосибирской области об областном бюджете на очередной финансовый год и плановый период для финансового обеспечения выполнения государственного задания, влекущего за собой необходимость внесения изменений в ранее утвержденное государственное задание</w:t>
            </w:r>
          </w:p>
        </w:tc>
      </w:tr>
      <w:tr>
        <w:trPr>
          <w:trHeight w:val="213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1.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Подготовка </w:t>
            </w:r>
            <w:r>
              <w:rPr>
                <w:color w:val="auto"/>
              </w:rPr>
              <w:t xml:space="preserve">предложений по внесению изменений в государственное задание в части объема финансового обеспечения выполнения государственного задания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бюджетной росписи от министерства финансов и налоговой политики Новосибирской области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планово-финансового управления</w:t>
            </w:r>
          </w:p>
        </w:tc>
      </w:tr>
      <w:tr>
        <w:trPr>
          <w:trHeight w:val="982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2.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Запрос </w:t>
            </w:r>
            <w:r>
              <w:rPr>
                <w:color w:val="auto"/>
              </w:rPr>
              <w:t xml:space="preserve">предложений по внесению изменений в государственное задание 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1-го рабочего дня с момента получения служебной записки от планово-финансового управления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441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3. 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Формирование и направление предложений по внесению изменений (сокращение либо </w:t>
            </w:r>
            <w:r>
              <w:t xml:space="preserve">увеличение) в государственное задание в части:</w:t>
            </w:r>
          </w:p>
          <w:p>
            <w:r>
              <w:t xml:space="preserve">- </w:t>
            </w:r>
            <w:r>
              <w:rPr>
                <w:color w:val="auto"/>
              </w:rPr>
              <w:t xml:space="preserve">показателей, характеризующих объем государственной услуги (работы)</w:t>
            </w:r>
            <w:r>
              <w:t xml:space="preserve">;</w:t>
            </w:r>
          </w:p>
          <w:p>
            <w:r>
              <w:t xml:space="preserve">- </w:t>
            </w:r>
            <w:r>
              <w:rPr>
                <w:color w:val="auto"/>
              </w:rPr>
              <w:t xml:space="preserve">объема основных видов социальных услуг на очередной финансовый год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5-и рабочих дней со дня получения служебной записки от управления </w:t>
            </w:r>
            <w:r>
              <w:t xml:space="preserve">комплексного анализа и социального проектирования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</w:pPr>
            <w:r>
              <w:t xml:space="preserve">Первый заместитель министра, заместители министра, руководители </w:t>
            </w:r>
            <w:r>
              <w:t xml:space="preserve">структурных подразделений, курирующих </w:t>
            </w:r>
            <w:r>
              <w:rPr>
                <w:color w:val="auto"/>
              </w:rPr>
              <w:t xml:space="preserve">подведомственные учреждения министерства </w:t>
            </w:r>
          </w:p>
        </w:tc>
      </w:tr>
      <w:tr>
        <w:trPr>
          <w:trHeight w:val="209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4.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Подготовка, согласование и утверждение проекта приказа министерства о внесении изменений в государственное задание подведомственного учреждения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4-х рабочих дней со дня получения предложений от руководителей структурных подразделений, курирующих подведомственные учреждения министерства, по внесению изменений в государственное задание (2-а дня подготовка проектов, 2-а дня согласование проектов)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786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5.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Изменение плановых показателей финансово - хозяйственной деятельности учреждения после внесения изменения в государственное задание учреждения</w:t>
            </w:r>
          </w:p>
        </w:tc>
        <w:tc>
          <w:tcPr>
            <w:tcW w:w="502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2-х рабочих дней со дня утверждения приказа о внесении изменений в государственное задание</w:t>
            </w:r>
          </w:p>
        </w:tc>
        <w:tc>
          <w:tcPr>
            <w:tcW w:w="416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планово-финансового управления</w:t>
            </w:r>
          </w:p>
        </w:tc>
      </w:tr>
      <w:tr>
        <w:trPr>
          <w:trHeight w:val="446"/>
        </w:trPr>
        <w:tc>
          <w:tcPr>
            <w:tcW w:w="1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III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  <w:lang w:val="en-US"/>
              </w:rPr>
              <w:t xml:space="preserve"> </w:t>
            </w:r>
            <w:r>
              <w:rPr>
                <w:b/>
                <w:bCs/>
              </w:rPr>
              <w:t xml:space="preserve">Внесение изменений по результатам выявления в течение текущего финансового года при проведении контроля выполнения государственного задания отклонения достигнутых значений показателей государственного задания от утвержденных значений показателей государственного задания, характеризующих качество и (или) объем оказываемых государственных услуг (выполняемых работ)*</w:t>
            </w:r>
          </w:p>
        </w:tc>
      </w:tr>
      <w:tr>
        <w:trPr>
          <w:trHeight w:val="53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1.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Предоставление форм отчетности по выполнению государственного задания</w:t>
            </w:r>
          </w:p>
        </w:tc>
        <w:tc>
          <w:tcPr>
            <w:tcW w:w="502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До 10 числа месяца, следующего за отчетным периодом</w:t>
            </w:r>
          </w:p>
        </w:tc>
        <w:tc>
          <w:tcPr>
            <w:tcW w:w="416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Руководители </w:t>
            </w:r>
            <w:r>
              <w:t xml:space="preserve">подведомственных учреждений министерства</w:t>
            </w:r>
          </w:p>
        </w:tc>
      </w:tr>
      <w:tr>
        <w:trPr>
          <w:trHeight w:val="53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2.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Проведение мониторинга выполнения государственных заданий, подготовка аналитической записки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До 25 числа месяца, следующего за отчетным периодом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982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3.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Подготовка предложений по внесению изменений в государственное задание в части:</w:t>
            </w:r>
          </w:p>
          <w:p>
            <w:r>
              <w:t xml:space="preserve">- </w:t>
            </w:r>
            <w:r>
              <w:rPr>
                <w:color w:val="auto"/>
              </w:rPr>
              <w:t xml:space="preserve">показателей, характеризующих объем государственной услуги (работы)</w:t>
            </w:r>
            <w:r>
              <w:t xml:space="preserve">;</w:t>
            </w:r>
          </w:p>
          <w:p>
            <w:r>
              <w:t xml:space="preserve">- </w:t>
            </w:r>
            <w:r>
              <w:rPr>
                <w:color w:val="auto"/>
              </w:rPr>
              <w:t xml:space="preserve">объема основных видов социальных услуг на очередной финансовый год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ind w:right="-108"/>
            </w:pPr>
            <w:r>
              <w:t xml:space="preserve">В течение 4-х рабочих дней со дня получения аналитической записки от управления комплексного анализа и социального проектирования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rPr>
                <w:rFonts w:ascii="Calibri" w:hAnsi="Calibri"/>
                <w:color w:val="auto"/>
              </w:rPr>
            </w:pPr>
            <w:r>
              <w:t xml:space="preserve">Первый заместитель министра, заместители министра, руководители структурных подразделений, курирующих </w:t>
            </w:r>
            <w:r>
              <w:rPr>
                <w:color w:val="auto"/>
              </w:rPr>
              <w:t xml:space="preserve">подведомственные учреждения министерства</w:t>
            </w:r>
          </w:p>
        </w:tc>
      </w:tr>
      <w:tr>
        <w:trPr>
          <w:trHeight w:val="659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4.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Направление информации об изменении государственного задания в управление </w:t>
            </w:r>
            <w:r>
              <w:rPr>
                <w:color w:val="auto"/>
              </w:rPr>
              <w:t xml:space="preserve">комплексного анализа и социального проектирования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предложений о внесении изменений в государственное задание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642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5.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Подготовка </w:t>
            </w:r>
            <w:r>
              <w:rPr>
                <w:color w:val="auto"/>
              </w:rPr>
              <w:t xml:space="preserve">предложений по внесению изменений в государственное задание в части </w:t>
            </w:r>
            <w:r>
              <w:rPr>
                <w:color w:val="auto"/>
                <w:sz w:val="22"/>
                <w:szCs w:val="28"/>
              </w:rPr>
              <w:t xml:space="preserve">о</w:t>
            </w:r>
            <w:r>
              <w:rPr>
                <w:color w:val="auto"/>
              </w:rPr>
              <w:t xml:space="preserve">бъема финансового обеспечения выполнения государственного задания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служебной записки от управления комплексного анализа и социального проектирования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планово-финансового управления</w:t>
            </w:r>
          </w:p>
        </w:tc>
      </w:tr>
      <w:tr>
        <w:trPr>
          <w:trHeight w:val="871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6.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Подготовка, согласование и утверждение проекта приказа министерства о внесении изменений в государственное задание подведомственного учреждения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4-х рабочих дней со дня получения служебной записки от планово-финансового управления</w:t>
            </w:r>
            <w:r>
              <w:rPr>
                <w:color w:val="auto"/>
              </w:rPr>
              <w:t xml:space="preserve"> </w:t>
            </w:r>
            <w:r>
              <w:t xml:space="preserve">(2-а дня подготовка проектов, 2-а дня согласование проектов)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98"/>
        </w:trPr>
        <w:tc>
          <w:tcPr>
            <w:tcW w:w="1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IV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  <w:lang w:val="en-US"/>
              </w:rPr>
              <w:t xml:space="preserve"> </w:t>
            </w:r>
            <w:r>
              <w:rPr>
                <w:b/>
                <w:bCs/>
              </w:rPr>
              <w:t xml:space="preserve">Внесение изменений в государственное задание при рассмотрении письменного мотивированного заявления государственного учреждения</w:t>
            </w:r>
            <w:r>
              <w:rPr>
                <w:b/>
                <w:color w:val="auto"/>
              </w:rPr>
              <w:t xml:space="preserve"> Новосибирской области, подведомственного министерству труда и социального развития Новосибирской области,</w:t>
            </w:r>
            <w:r>
              <w:rPr>
                <w:b/>
                <w:bCs/>
              </w:rPr>
              <w:t xml:space="preserve"> об изменении государственного задания</w:t>
            </w:r>
          </w:p>
        </w:tc>
      </w:tr>
      <w:tr>
        <w:trPr>
          <w:trHeight w:val="33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1.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rPr>
                <w:bCs/>
              </w:rPr>
              <w:t xml:space="preserve">П</w:t>
            </w:r>
            <w:r>
              <w:t xml:space="preserve">одготовка предложений о внесении изменений в государственное задание, согласованных с первым заместителем министра труда и социального развития Новосибирской области, заместителями министра труда и социального развития Новосибирской области</w:t>
            </w:r>
          </w:p>
        </w:tc>
        <w:tc>
          <w:tcPr>
            <w:tcW w:w="502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 момента принятия решения министром труда и социального развития Новосибирской области об изменении утвержденного государственного задания в результате рассмотрения </w:t>
            </w:r>
            <w:r>
              <w:rPr>
                <w:bCs/>
              </w:rPr>
              <w:t xml:space="preserve">письменного мотивированного заявления подведомственного учреждения об изменении государственного задания</w:t>
            </w:r>
          </w:p>
        </w:tc>
        <w:tc>
          <w:tcPr>
            <w:tcW w:w="416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Первый заместитель министра, заместители министра, руководители структурных подразделений, курирующих подведомственные учреждения министерства</w:t>
            </w:r>
          </w:p>
        </w:tc>
      </w:tr>
      <w:tr>
        <w:trPr>
          <w:trHeight w:val="43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2</w:t>
            </w:r>
            <w:r>
              <w:rPr>
                <w:lang w:val="en-US"/>
              </w:rPr>
              <w:t xml:space="preserve">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Направление информации об изменении государственного задания в управление </w:t>
            </w:r>
            <w:r>
              <w:rPr>
                <w:color w:val="auto"/>
              </w:rPr>
              <w:t xml:space="preserve">комплексного анализа и социального проектирования</w:t>
            </w:r>
          </w:p>
        </w:tc>
        <w:tc>
          <w:tcPr>
            <w:tcW w:w="502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служебной записки от руководителя структурного подразделения, курирующего </w:t>
            </w:r>
            <w:r>
              <w:rPr>
                <w:color w:val="auto"/>
              </w:rPr>
              <w:t xml:space="preserve">подведомственное учреждение министерства</w:t>
            </w:r>
          </w:p>
        </w:tc>
        <w:tc>
          <w:tcPr>
            <w:tcW w:w="416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  <w:tr>
        <w:trPr>
          <w:trHeight w:val="877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3.</w:t>
            </w:r>
          </w:p>
        </w:tc>
        <w:tc>
          <w:tcPr>
            <w:tcW w:w="5309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Подготовка </w:t>
            </w:r>
            <w:r>
              <w:rPr>
                <w:color w:val="auto"/>
              </w:rPr>
              <w:t xml:space="preserve">предложений по внесению изменений в государственное задание в части </w:t>
            </w:r>
            <w:r>
              <w:rPr>
                <w:color w:val="auto"/>
                <w:sz w:val="22"/>
                <w:szCs w:val="28"/>
              </w:rPr>
              <w:t xml:space="preserve">о</w:t>
            </w:r>
            <w:r>
              <w:rPr>
                <w:color w:val="auto"/>
              </w:rPr>
              <w:t xml:space="preserve">бъема финансового обеспечения выполнения государственного задания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3-х рабочих дней со дня получения служебной записки от управления комплексного анализа и социального проектирования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планово-финансового управления</w:t>
            </w:r>
          </w:p>
        </w:tc>
      </w:tr>
      <w:tr>
        <w:trPr>
          <w:trHeight w:val="825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4.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tabs>
                <w:tab w:val="center" w:pos="4536"/>
                <w:tab w:val="right" w:pos="9072"/>
                <w:tab w:val="left" w:pos="10035"/>
                <w:tab w:val="left" w:pos="10065"/>
              </w:tabs>
              <w:rPr>
                <w:color w:val="auto"/>
              </w:rPr>
            </w:pPr>
            <w:r>
              <w:rPr>
                <w:color w:val="auto"/>
              </w:rPr>
              <w:t xml:space="preserve">Подготовка, согласование и утверждение проекта приказа министерства о внесении изменений в государственное задание подведомственного учреждения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В течение 4 рабочих дней со дня получения служебной записки от планово-финансового управления</w:t>
            </w:r>
            <w:r>
              <w:rPr>
                <w:color w:val="auto"/>
              </w:rPr>
              <w:t xml:space="preserve"> </w:t>
            </w:r>
            <w:r>
              <w:t xml:space="preserve">(2-а дня подготовка проектов, 2-а дня согласование проектов)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r>
              <w:t xml:space="preserve">Начальник управления комплексного анализа и социального проектирования</w:t>
            </w:r>
          </w:p>
        </w:tc>
      </w:tr>
    </w:tbl>
    <w:p>
      <w:r>
        <w:rPr>
          <w:color w:val="auto"/>
        </w:rPr>
        <w:t xml:space="preserve">* - п</w:t>
      </w:r>
      <w:r>
        <w:t xml:space="preserve">роизводится по фактическому исполнению государственного задания, в т.ч.:</w:t>
      </w:r>
    </w:p>
    <w:p>
      <w:pPr>
        <w:ind w:firstLine="708"/>
      </w:pPr>
      <w:r>
        <w:t xml:space="preserve">1) в большем объеме;</w:t>
      </w:r>
    </w:p>
    <w:p>
      <w:pPr>
        <w:ind w:firstLine="708"/>
      </w:pPr>
      <w:r>
        <w:t xml:space="preserve">2) в меньшем объеме (разница между фактическим и плановым исполнением более 5%).</w:t>
      </w:r>
    </w:p>
    <w:p>
      <w:pPr>
        <w:ind w:left="9214"/>
        <w:jc w:val="center"/>
        <w:rPr>
          <w:sz w:val="28"/>
          <w:szCs w:val="28"/>
        </w:rPr>
      </w:pPr>
    </w:p>
    <w:p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>
      <w:pPr>
        <w:ind w:left="8931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 Порядку внесения изменений в государственное задание для государственных учреждений Новосибирской области, подведомственных министерству труда и социального развития Новосибирской области</w:t>
      </w:r>
    </w:p>
    <w:tbl>
      <w:tblPr>
        <w:tblW w:w="152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992"/>
        <w:gridCol w:w="1843"/>
        <w:gridCol w:w="992"/>
        <w:gridCol w:w="851"/>
        <w:gridCol w:w="850"/>
        <w:gridCol w:w="2410"/>
        <w:gridCol w:w="1276"/>
        <w:gridCol w:w="992"/>
        <w:gridCol w:w="1370"/>
      </w:tblGrid>
      <w:tr>
        <w:trPr>
          <w:trHeight w:val="399"/>
        </w:trPr>
        <w:tc>
          <w:tcPr>
            <w:tcW w:w="15277" w:type="dxa"/>
            <w:gridSpan w:val="11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Предлагаемые изменения государственного задания, установленного на год _____________________________________________________________________</w:t>
            </w:r>
          </w:p>
        </w:tc>
      </w:tr>
      <w:tr>
        <w:trPr>
          <w:trHeight w:val="87"/>
        </w:trPr>
        <w:tc>
          <w:tcPr>
            <w:tcW w:w="15277" w:type="dxa"/>
            <w:gridSpan w:val="11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spacing w:line="16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     (наименование подведомственного учреждения)</w:t>
            </w:r>
          </w:p>
        </w:tc>
      </w:tr>
      <w:tr>
        <w:trPr>
          <w:trHeight w:val="415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Наименование государственной услуги (работы)*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Направления деятельности учреждений социального обслуживания в рамках отдельных государственных услуг (работ)**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Планируемая дата предлагаемых изменений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Увеличение (уменьшение) расходов на оказание (выполнение) государственных услуг (работ)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Увеличение (уменьшение) расходов на содержание имущества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Увеличение (уменьшение) прочих расходов 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ind w:left="-108" w:right="-14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 увеличение (уменьшение) расходов</w:t>
            </w:r>
          </w:p>
        </w:tc>
      </w:tr>
      <w:tr>
        <w:trPr>
          <w:trHeight w:val="1265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Всего, </w:t>
            </w:r>
          </w:p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тыс. руб.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Количество вводимых (либо сокращаемых) услуг (работ)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Норматив стоимости услуги (работы), руб.**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Корректирующий коэффициент**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Планируемое количество месяцев, в течение которых деятельность учреждения будет осуществляться с учетом предлагаемых изменений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/>
                <w:bCs/>
                <w:sz w:val="19"/>
                <w:szCs w:val="19"/>
              </w:rPr>
            </w:pPr>
          </w:p>
        </w:tc>
      </w:tr>
      <w:tr>
        <w:trPr>
          <w:trHeight w:val="77"/>
        </w:trPr>
        <w:tc>
          <w:tcPr>
            <w:tcW w:w="1149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1</w:t>
            </w: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2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3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4 (ст.5*ст.6*ст.7*ст.8/12/1000)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5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6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7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8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9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10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11 (ст.4+ст.9+ст.10)</w:t>
            </w:r>
          </w:p>
        </w:tc>
      </w:tr>
      <w:tr>
        <w:trPr>
          <w:trHeight w:val="70"/>
        </w:trPr>
        <w:tc>
          <w:tcPr>
            <w:tcW w:w="1149" w:type="dxa"/>
            <w:vMerge w:val="restart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1.</w:t>
            </w: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1. 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2.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…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Итого по государственной услуге (работе)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restart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2.</w:t>
            </w: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1. 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2.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…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135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Итого по государственной услуге (работе)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…</w:t>
            </w:r>
          </w:p>
        </w:tc>
        <w:tc>
          <w:tcPr>
            <w:tcW w:w="255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1. </w:t>
            </w:r>
          </w:p>
        </w:tc>
        <w:tc>
          <w:tcPr>
            <w:tcW w:w="99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2.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70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…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268"/>
        </w:trPr>
        <w:tc>
          <w:tcPr>
            <w:tcW w:w="1149" w:type="dxa"/>
            <w:vMerge w:val="continue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Итого по государственной услуге (работе)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</w:p>
        </w:tc>
      </w:tr>
      <w:tr>
        <w:trPr>
          <w:trHeight w:val="255"/>
        </w:trPr>
        <w:tc>
          <w:tcPr>
            <w:tcW w:w="1149" w:type="dxa"/>
            <w:tcBorders>
              <w:top w:val="none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ИТОГО</w:t>
            </w:r>
          </w:p>
        </w:tc>
        <w:tc>
          <w:tcPr>
            <w:tcW w:w="25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851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85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241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99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  <w:tc>
          <w:tcPr>
            <w:tcW w:w="1370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 </w:t>
            </w:r>
          </w:p>
        </w:tc>
      </w:tr>
      <w:tr>
        <w:trPr>
          <w:trHeight w:val="484"/>
        </w:trPr>
        <w:tc>
          <w:tcPr>
            <w:tcW w:w="15277" w:type="dxa"/>
            <w:gridSpan w:val="11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Указывается в соответствии с перечнем и объемом государственных услуг (работ) в сфере социального обслуживания населения за счет средств областного бюджета Новосибирской области, утвержденными Правительства Новосибирской области</w:t>
            </w:r>
          </w:p>
        </w:tc>
      </w:tr>
      <w:tr>
        <w:trPr>
          <w:trHeight w:val="80"/>
        </w:trPr>
        <w:tc>
          <w:tcPr>
            <w:tcW w:w="15277" w:type="dxa"/>
            <w:gridSpan w:val="11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center"/>
            <w:hideMark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Указывается в соответствии с приказом министерства</w:t>
            </w:r>
          </w:p>
        </w:tc>
      </w:tr>
    </w:tbl>
    <w:p>
      <w:pPr>
        <w:ind w:left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_______________».</w:t>
      </w:r>
      <w:bookmarkStart w:id="0" w:name="_GoBack"/>
      <w:bookmarkEnd w:id="0"/>
    </w:p>
    <w:sectPr>
      <w:pgSz w:w="16838" w:h="11906" w:orient="landscape"/>
      <w:pgMar w:top="1418" w:right="1134" w:bottom="567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ourier New CYR">
    <w:panose1 w:val="02070309020205020404"/>
  </w:font>
  <w:font w:name="Tahoma">
    <w:panose1 w:val="020B0604030504040204"/>
  </w:font>
  <w:font w:name="Calibri">
    <w:panose1 w:val="020F0502020204030204"/>
  </w:font>
  <w:font w:name="Arial CYR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5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E20D538">
      <w:start w:val="1"/>
      <w:numFmt w:val="decimal"/>
      <w:lvlText w:val="%1."/>
      <w:lvlJc w:val="left"/>
      <w:pPr>
        <w:ind w:left="1065" w:hanging="360"/>
      </w:pPr>
    </w:lvl>
    <w:lvl w:ilvl="1" w:tplc="735AD322">
      <w:start w:val="1"/>
      <w:numFmt w:val="lowerLetter"/>
      <w:lvlText w:val="%2."/>
      <w:lvlJc w:val="left"/>
      <w:pPr>
        <w:ind w:left="1785" w:hanging="360"/>
      </w:pPr>
    </w:lvl>
    <w:lvl w:ilvl="2" w:tplc="576C28CE">
      <w:start w:val="1"/>
      <w:numFmt w:val="lowerRoman"/>
      <w:lvlText w:val="%3."/>
      <w:lvlJc w:val="right"/>
      <w:pPr>
        <w:ind w:left="2505" w:hanging="180"/>
      </w:pPr>
    </w:lvl>
    <w:lvl w:ilvl="3" w:tplc="D44284B0">
      <w:start w:val="1"/>
      <w:numFmt w:val="decimal"/>
      <w:lvlText w:val="%4."/>
      <w:lvlJc w:val="left"/>
      <w:pPr>
        <w:ind w:left="3225" w:hanging="360"/>
      </w:pPr>
    </w:lvl>
    <w:lvl w:ilvl="4" w:tplc="EC5C32B4">
      <w:start w:val="1"/>
      <w:numFmt w:val="lowerLetter"/>
      <w:lvlText w:val="%5."/>
      <w:lvlJc w:val="left"/>
      <w:pPr>
        <w:ind w:left="3945" w:hanging="360"/>
      </w:pPr>
    </w:lvl>
    <w:lvl w:ilvl="5" w:tplc="95626CEE">
      <w:start w:val="1"/>
      <w:numFmt w:val="lowerRoman"/>
      <w:lvlText w:val="%6."/>
      <w:lvlJc w:val="right"/>
      <w:pPr>
        <w:ind w:left="4665" w:hanging="180"/>
      </w:pPr>
    </w:lvl>
    <w:lvl w:ilvl="6" w:tplc="5C78F606">
      <w:start w:val="1"/>
      <w:numFmt w:val="decimal"/>
      <w:lvlText w:val="%7."/>
      <w:lvlJc w:val="left"/>
      <w:pPr>
        <w:ind w:left="5385" w:hanging="360"/>
      </w:pPr>
    </w:lvl>
    <w:lvl w:ilvl="7" w:tplc="FF4E1A9C">
      <w:start w:val="1"/>
      <w:numFmt w:val="lowerLetter"/>
      <w:lvlText w:val="%8."/>
      <w:lvlJc w:val="left"/>
      <w:pPr>
        <w:ind w:left="6105" w:hanging="360"/>
      </w:pPr>
    </w:lvl>
    <w:lvl w:ilvl="8" w:tplc="21B8F48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">
    <w:multiLevelType w:val="hybridMultilevel"/>
    <w:lvl w:ilvl="0" w:tplc="96CEFD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988D5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08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69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EE3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690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6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4BB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8ED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4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sz w:val="24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sz w:val="24"/>
      </w:rPr>
    </w:lvl>
  </w:abstractNum>
  <w:abstractNum w:abstractNumId="4">
    <w:multiLevelType w:val="hybridMultilevel"/>
    <w:lvl w:ilvl="0" w:tplc="B846CC7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9C2A83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1F78A96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851AB30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69F43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28E40CF8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CB925C6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67908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F59297F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 w:tplc="A306BEDA">
      <w:start w:val="1"/>
      <w:numFmt w:val="decimal"/>
      <w:lvlText w:val="%1."/>
      <w:lvlJc w:val="left"/>
      <w:pPr>
        <w:ind w:left="1684" w:hanging="975"/>
      </w:pPr>
    </w:lvl>
    <w:lvl w:ilvl="1" w:tplc="445839EC">
      <w:start w:val="1"/>
      <w:numFmt w:val="lowerLetter"/>
      <w:lvlText w:val="%2."/>
      <w:lvlJc w:val="left"/>
      <w:pPr>
        <w:ind w:left="1789" w:hanging="360"/>
      </w:pPr>
    </w:lvl>
    <w:lvl w:ilvl="2" w:tplc="726C02B0">
      <w:start w:val="1"/>
      <w:numFmt w:val="lowerRoman"/>
      <w:lvlText w:val="%3."/>
      <w:lvlJc w:val="right"/>
      <w:pPr>
        <w:ind w:left="2509" w:hanging="180"/>
      </w:pPr>
    </w:lvl>
    <w:lvl w:ilvl="3" w:tplc="9B9091FA">
      <w:start w:val="1"/>
      <w:numFmt w:val="decimal"/>
      <w:lvlText w:val="%4."/>
      <w:lvlJc w:val="left"/>
      <w:pPr>
        <w:ind w:left="3229" w:hanging="360"/>
      </w:pPr>
    </w:lvl>
    <w:lvl w:ilvl="4" w:tplc="C97633E8">
      <w:start w:val="1"/>
      <w:numFmt w:val="lowerLetter"/>
      <w:lvlText w:val="%5."/>
      <w:lvlJc w:val="left"/>
      <w:pPr>
        <w:ind w:left="3949" w:hanging="360"/>
      </w:pPr>
    </w:lvl>
    <w:lvl w:ilvl="5" w:tplc="9796C87A">
      <w:start w:val="1"/>
      <w:numFmt w:val="lowerRoman"/>
      <w:lvlText w:val="%6."/>
      <w:lvlJc w:val="right"/>
      <w:pPr>
        <w:ind w:left="4669" w:hanging="180"/>
      </w:pPr>
    </w:lvl>
    <w:lvl w:ilvl="6" w:tplc="7A00EBEA">
      <w:start w:val="1"/>
      <w:numFmt w:val="decimal"/>
      <w:lvlText w:val="%7."/>
      <w:lvlJc w:val="left"/>
      <w:pPr>
        <w:ind w:left="5389" w:hanging="360"/>
      </w:pPr>
    </w:lvl>
    <w:lvl w:ilvl="7" w:tplc="1C9AA676">
      <w:start w:val="1"/>
      <w:numFmt w:val="lowerLetter"/>
      <w:lvlText w:val="%8."/>
      <w:lvlJc w:val="left"/>
      <w:pPr>
        <w:ind w:left="6109" w:hanging="360"/>
      </w:pPr>
    </w:lvl>
    <w:lvl w:ilvl="8" w:tplc="7E04036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FC8ADBD0">
      <w:start w:val="1"/>
      <w:numFmt w:val="decimal"/>
      <w:lvlText w:val="%1."/>
      <w:lvlJc w:val="left"/>
      <w:pPr>
        <w:ind w:left="720" w:hanging="360"/>
      </w:pPr>
    </w:lvl>
    <w:lvl w:ilvl="1" w:tplc="6D781F16">
      <w:start w:val="1"/>
      <w:numFmt w:val="lowerLetter"/>
      <w:lvlText w:val="%2."/>
      <w:lvlJc w:val="left"/>
      <w:pPr>
        <w:ind w:left="1440" w:hanging="360"/>
      </w:pPr>
    </w:lvl>
    <w:lvl w:ilvl="2" w:tplc="F9FCDF8A">
      <w:start w:val="1"/>
      <w:numFmt w:val="lowerRoman"/>
      <w:lvlText w:val="%3."/>
      <w:lvlJc w:val="right"/>
      <w:pPr>
        <w:ind w:left="2160" w:hanging="180"/>
      </w:pPr>
    </w:lvl>
    <w:lvl w:ilvl="3" w:tplc="30E29D0E">
      <w:start w:val="1"/>
      <w:numFmt w:val="decimal"/>
      <w:lvlText w:val="%4."/>
      <w:lvlJc w:val="left"/>
      <w:pPr>
        <w:ind w:left="2880" w:hanging="360"/>
      </w:pPr>
    </w:lvl>
    <w:lvl w:ilvl="4" w:tplc="D2A23782">
      <w:start w:val="1"/>
      <w:numFmt w:val="lowerLetter"/>
      <w:lvlText w:val="%5."/>
      <w:lvlJc w:val="left"/>
      <w:pPr>
        <w:ind w:left="3600" w:hanging="360"/>
      </w:pPr>
    </w:lvl>
    <w:lvl w:ilvl="5" w:tplc="06F2EDCE">
      <w:start w:val="1"/>
      <w:numFmt w:val="lowerRoman"/>
      <w:lvlText w:val="%6."/>
      <w:lvlJc w:val="right"/>
      <w:pPr>
        <w:ind w:left="4320" w:hanging="180"/>
      </w:pPr>
    </w:lvl>
    <w:lvl w:ilvl="6" w:tplc="A88A3BEA">
      <w:start w:val="1"/>
      <w:numFmt w:val="decimal"/>
      <w:lvlText w:val="%7."/>
      <w:lvlJc w:val="left"/>
      <w:pPr>
        <w:ind w:left="5040" w:hanging="360"/>
      </w:pPr>
    </w:lvl>
    <w:lvl w:ilvl="7" w:tplc="FB42C632">
      <w:start w:val="1"/>
      <w:numFmt w:val="lowerLetter"/>
      <w:lvlText w:val="%8."/>
      <w:lvlJc w:val="left"/>
      <w:pPr>
        <w:ind w:left="5760" w:hanging="360"/>
      </w:pPr>
    </w:lvl>
    <w:lvl w:ilvl="8" w:tplc="1FFA27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9">
    <w:multiLevelType w:val="hybridMultilevel"/>
    <w:lvl w:ilvl="0" w:tplc="61CC29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7FC07C54">
      <w:start w:val="1"/>
      <w:numFmt w:val="decimal"/>
      <w:lvlText w:val=""/>
      <w:lvlJc w:val="left"/>
      <w:pPr>
        <w:tabs>
          <w:tab w:val="num" w:pos="360"/>
        </w:tabs>
      </w:pPr>
    </w:lvl>
    <w:lvl w:ilvl="2" w:tplc="1D9C64F4">
      <w:start w:val="1"/>
      <w:numFmt w:val="decimal"/>
      <w:lvlText w:val=""/>
      <w:lvlJc w:val="left"/>
      <w:pPr>
        <w:tabs>
          <w:tab w:val="num" w:pos="360"/>
        </w:tabs>
      </w:pPr>
    </w:lvl>
    <w:lvl w:ilvl="3" w:tplc="7DDA892E">
      <w:start w:val="1"/>
      <w:numFmt w:val="decimal"/>
      <w:lvlText w:val=""/>
      <w:lvlJc w:val="left"/>
      <w:pPr>
        <w:tabs>
          <w:tab w:val="num" w:pos="360"/>
        </w:tabs>
      </w:pPr>
    </w:lvl>
    <w:lvl w:ilvl="4" w:tplc="50B6ABCE">
      <w:start w:val="1"/>
      <w:numFmt w:val="decimal"/>
      <w:lvlText w:val=""/>
      <w:lvlJc w:val="left"/>
      <w:pPr>
        <w:tabs>
          <w:tab w:val="num" w:pos="360"/>
        </w:tabs>
      </w:pPr>
    </w:lvl>
    <w:lvl w:ilvl="5" w:tplc="AA60C46A">
      <w:start w:val="1"/>
      <w:numFmt w:val="decimal"/>
      <w:lvlText w:val=""/>
      <w:lvlJc w:val="left"/>
      <w:pPr>
        <w:tabs>
          <w:tab w:val="num" w:pos="360"/>
        </w:tabs>
      </w:pPr>
    </w:lvl>
    <w:lvl w:ilvl="6" w:tplc="91CCE080">
      <w:start w:val="1"/>
      <w:numFmt w:val="decimal"/>
      <w:lvlText w:val=""/>
      <w:lvlJc w:val="left"/>
      <w:pPr>
        <w:tabs>
          <w:tab w:val="num" w:pos="360"/>
        </w:tabs>
      </w:pPr>
    </w:lvl>
    <w:lvl w:ilvl="7" w:tplc="272ACD1C">
      <w:start w:val="1"/>
      <w:numFmt w:val="decimal"/>
      <w:lvlText w:val=""/>
      <w:lvlJc w:val="left"/>
      <w:pPr>
        <w:tabs>
          <w:tab w:val="num" w:pos="360"/>
        </w:tabs>
      </w:pPr>
    </w:lvl>
    <w:lvl w:ilvl="8" w:tplc="2BA6CDC0">
      <w:start w:val="1"/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spacing w:before="71" w:after="71"/>
      <w:ind w:left="71" w:right="71"/>
      <w:jc w:val="center"/>
      <w:outlineLvl w:val="2"/>
    </w:pPr>
    <w:rPr>
      <w:b/>
      <w:bCs/>
      <w:sz w:val="17"/>
      <w:szCs w:val="17"/>
      <w:u w:val="singl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6"/>
      <w:szCs w:val="20"/>
      <w:lang w:val="en-US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pPr>
      <w:keepNext/>
      <w:ind w:firstLine="567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Cs w:val="20"/>
    </w:rPr>
  </w:style>
  <w:style w:type="character" w:styleId="TitleChar" w:customStyle="1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sz w:val="28"/>
      <w:szCs w:val="20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5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pPr>
      <w:tabs>
        <w:tab w:val="right" w:pos="-1418" w:leader="dot"/>
        <w:tab w:val="left" w:pos="9962" w:leader="dot"/>
      </w:tabs>
      <w:ind w:right="190"/>
    </w:pPr>
    <w:rPr>
      <w:sz w:val="28"/>
      <w:szCs w:val="20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10" w:customStyle="1">
    <w:name w:val="Заголовок 1 Знак"/>
    <w:link w:val="1"/>
    <w:rPr>
      <w:rFonts w:ascii="Arial" w:hAnsi="Arial" w:cs="Arial"/>
      <w:b/>
      <w:bCs/>
      <w:color w:val="000000"/>
      <w:sz w:val="32"/>
      <w:szCs w:val="32"/>
    </w:rPr>
  </w:style>
  <w:style w:type="character" w:styleId="20" w:customStyle="1">
    <w:name w:val="Заголовок 2 Знак"/>
    <w:link w:val="2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30" w:customStyle="1">
    <w:name w:val="Заголовок 3 Знак"/>
    <w:link w:val="3"/>
    <w:rPr>
      <w:b/>
      <w:bCs/>
      <w:color w:val="000000"/>
      <w:sz w:val="17"/>
      <w:szCs w:val="17"/>
      <w:u w:val="single"/>
    </w:rPr>
  </w:style>
  <w:style w:type="character" w:styleId="40" w:customStyle="1">
    <w:name w:val="Заголовок 4 Знак"/>
    <w:link w:val="4"/>
    <w:rPr>
      <w:sz w:val="28"/>
    </w:rPr>
  </w:style>
  <w:style w:type="character" w:styleId="50" w:customStyle="1">
    <w:name w:val="Заголовок 5 Знак"/>
    <w:link w:val="5"/>
    <w:rPr>
      <w:sz w:val="26"/>
      <w:lang w:val="en-US"/>
    </w:rPr>
  </w:style>
  <w:style w:type="character" w:styleId="60" w:customStyle="1">
    <w:name w:val="Заголовок 6 Знак"/>
    <w:link w:val="6"/>
    <w:rPr>
      <w:rFonts w:ascii="Cambria" w:hAnsi="Cambria"/>
      <w:i/>
      <w:iCs/>
      <w:color w:val="243f60"/>
      <w:sz w:val="22"/>
      <w:szCs w:val="22"/>
    </w:rPr>
  </w:style>
  <w:style w:type="character" w:styleId="70" w:customStyle="1">
    <w:name w:val="Заголовок 7 Знак"/>
    <w:link w:val="7"/>
    <w:rPr>
      <w:rFonts w:ascii="Calibri" w:hAnsi="Calibri"/>
      <w:sz w:val="24"/>
      <w:szCs w:val="24"/>
    </w:rPr>
  </w:style>
  <w:style w:type="character" w:styleId="80" w:customStyle="1">
    <w:name w:val="Заголовок 8 Знак"/>
    <w:link w:val="8"/>
    <w:rPr>
      <w:b/>
      <w:sz w:val="28"/>
    </w:rPr>
  </w:style>
  <w:style w:type="character" w:styleId="90" w:customStyle="1">
    <w:name w:val="Заголовок 9 Знак"/>
    <w:link w:val="9"/>
    <w:rPr>
      <w:rFonts w:ascii="Arial" w:hAnsi="Arial"/>
      <w:sz w:val="22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rPr>
      <w:rFonts w:ascii="Tahoma" w:hAnsi="Tahoma" w:cs="Tahoma"/>
      <w:color w:val="000000"/>
      <w:sz w:val="16"/>
      <w:szCs w:val="16"/>
    </w:rPr>
  </w:style>
  <w:style w:type="paragraph" w:styleId="afc">
    <w:name w:val="Normal (Web)"/>
    <w:basedOn w:val="a"/>
  </w:style>
  <w:style w:type="paragraph" w:styleId="rvps2" w:customStyle="1">
    <w:name w:val="rvps2"/>
    <w:basedOn w:val="a"/>
    <w:pPr>
      <w:spacing w:before="78" w:after="78"/>
      <w:jc w:val="center"/>
    </w:pPr>
  </w:style>
  <w:style w:type="paragraph" w:styleId="rvps3" w:customStyle="1">
    <w:name w:val="rvps3"/>
    <w:basedOn w:val="a"/>
    <w:pPr>
      <w:ind w:firstLine="532"/>
      <w:jc w:val="both"/>
    </w:pPr>
  </w:style>
  <w:style w:type="paragraph" w:styleId="rvps4" w:customStyle="1">
    <w:name w:val="rvps4"/>
    <w:basedOn w:val="a"/>
    <w:pPr>
      <w:jc w:val="right"/>
    </w:pPr>
  </w:style>
  <w:style w:type="paragraph" w:styleId="rvps5" w:customStyle="1">
    <w:name w:val="rvps5"/>
    <w:basedOn w:val="a"/>
    <w:pPr>
      <w:ind w:firstLine="532"/>
      <w:jc w:val="right"/>
    </w:pPr>
  </w:style>
  <w:style w:type="paragraph" w:styleId="rvps6" w:customStyle="1">
    <w:name w:val="rvps6"/>
    <w:basedOn w:val="a"/>
    <w:pPr>
      <w:ind w:left="122"/>
      <w:jc w:val="both"/>
    </w:pPr>
  </w:style>
  <w:style w:type="paragraph" w:styleId="rvps8" w:customStyle="1">
    <w:name w:val="rvps8"/>
    <w:basedOn w:val="a"/>
    <w:pPr>
      <w:jc w:val="both"/>
    </w:pPr>
  </w:style>
  <w:style w:type="character" w:styleId="rvts6" w:customStyle="1">
    <w:name w:val="rvts6"/>
    <w:rPr>
      <w:rFonts w:ascii="Arial CYR" w:hAnsi="Arial CYR" w:cs="Arial CYR"/>
      <w:b/>
      <w:bCs/>
      <w:color w:val="000080"/>
    </w:rPr>
  </w:style>
  <w:style w:type="character" w:styleId="rvts7" w:customStyle="1">
    <w:name w:val="rvts7"/>
    <w:rPr>
      <w:rFonts w:ascii="Arial CYR" w:hAnsi="Arial CYR" w:cs="Arial CYR"/>
      <w:color w:val="000000"/>
    </w:rPr>
  </w:style>
  <w:style w:type="character" w:styleId="rvts10" w:customStyle="1">
    <w:name w:val="rvts10"/>
    <w:rPr>
      <w:rFonts w:ascii="Courier New CYR" w:hAnsi="Courier New CYR" w:cs="Courier New CYR"/>
      <w:color w:val="000000"/>
    </w:rPr>
  </w:style>
  <w:style w:type="character" w:styleId="rvts15" w:customStyle="1">
    <w:name w:val="rvts15"/>
    <w:rPr>
      <w:rFonts w:ascii="Courier New CYR" w:hAnsi="Courier New CYR" w:cs="Courier New CYR"/>
      <w:b/>
      <w:bCs/>
      <w:color w:val="000080"/>
    </w:rPr>
  </w:style>
  <w:style w:type="paragraph" w:styleId="25">
    <w:name w:val="Body Text 2"/>
    <w:basedOn w:val="a"/>
    <w:link w:val="26"/>
    <w:uiPriority w:val="99"/>
    <w:rPr>
      <w:sz w:val="28"/>
      <w:szCs w:val="20"/>
    </w:rPr>
  </w:style>
  <w:style w:type="paragraph" w:styleId="afd" w:customStyle="1">
    <w:name w:val="Верхний колонтитул;ВерхКолонтитул"/>
    <w:basedOn w:val="a"/>
    <w:link w:val="afe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fe" w:customStyle="1">
    <w:name w:val="Верхний колонтитул Знак;ВерхКолонтитул Знак"/>
    <w:link w:val="afd"/>
    <w:uiPriority w:val="99"/>
    <w:rPr>
      <w:sz w:val="28"/>
    </w:rPr>
  </w:style>
  <w:style w:type="paragraph" w:styleId="aff">
    <w:name w:val="Document Map"/>
    <w:basedOn w:val="a"/>
    <w:link w:val="aff0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7">
    <w:name w:val="Body Text Indent 2"/>
    <w:basedOn w:val="a"/>
    <w:link w:val="28"/>
    <w:pPr>
      <w:ind w:firstLine="708"/>
      <w:jc w:val="both"/>
    </w:pPr>
  </w:style>
  <w:style w:type="character" w:styleId="28" w:customStyle="1">
    <w:name w:val="Основной текст с отступом 2 Знак"/>
    <w:link w:val="27"/>
    <w:rPr>
      <w:sz w:val="24"/>
      <w:szCs w:val="24"/>
    </w:rPr>
  </w:style>
  <w:style w:type="paragraph" w:styleId="ConsPlusNormal" w:customStyle="1">
    <w:name w:val="ConsPlusNormal"/>
    <w:pPr>
      <w:ind w:firstLine="720"/>
    </w:pPr>
    <w:rPr>
      <w:rFonts w:ascii="Arial" w:hAnsi="Arial" w:cs="Arial"/>
    </w:rPr>
  </w:style>
  <w:style w:type="character" w:styleId="ae" w:customStyle="1">
    <w:name w:val="Нижний колонтитул Знак"/>
    <w:link w:val="ad"/>
    <w:uiPriority w:val="99"/>
    <w:rPr>
      <w:color w:val="000000"/>
      <w:sz w:val="24"/>
      <w:szCs w:val="24"/>
    </w:rPr>
  </w:style>
  <w:style w:type="character" w:styleId="26" w:customStyle="1">
    <w:name w:val="Основной текст 2 Знак"/>
    <w:link w:val="25"/>
    <w:uiPriority w:val="99"/>
    <w:rPr>
      <w:sz w:val="28"/>
    </w:rPr>
  </w:style>
  <w:style w:type="paragraph" w:styleId="33">
    <w:name w:val="Body Text Indent 3"/>
    <w:basedOn w:val="a"/>
    <w:link w:val="34"/>
    <w:pPr>
      <w:ind w:firstLine="708"/>
      <w:jc w:val="both"/>
    </w:pPr>
    <w:rPr>
      <w:sz w:val="28"/>
      <w:szCs w:val="20"/>
    </w:rPr>
  </w:style>
  <w:style w:type="character" w:styleId="34" w:customStyle="1">
    <w:name w:val="Основной текст с отступом 3 Знак"/>
    <w:link w:val="33"/>
    <w:rPr>
      <w:sz w:val="28"/>
    </w:rPr>
  </w:style>
  <w:style w:type="paragraph" w:styleId="aff1">
    <w:name w:val="Body Text Indent"/>
    <w:basedOn w:val="a"/>
    <w:link w:val="aff2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f2" w:customStyle="1">
    <w:name w:val="Основной текст с отступом Знак"/>
    <w:link w:val="aff1"/>
    <w:uiPriority w:val="99"/>
    <w:rPr>
      <w:rFonts w:ascii="Calibri" w:hAnsi="Calibri"/>
      <w:sz w:val="22"/>
      <w:szCs w:val="22"/>
    </w:rPr>
  </w:style>
  <w:style w:type="paragraph" w:styleId="aff3">
    <w:name w:val="Body Text"/>
    <w:basedOn w:val="a"/>
    <w:link w:val="aff4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aff4" w:customStyle="1">
    <w:name w:val="Основной текст Знак"/>
    <w:link w:val="aff3"/>
    <w:rPr>
      <w:rFonts w:ascii="Calibri" w:hAnsi="Calibri"/>
      <w:sz w:val="22"/>
      <w:szCs w:val="22"/>
    </w:rPr>
  </w:style>
  <w:style w:type="paragraph" w:styleId="aff5">
    <w:name w:val="annotation text"/>
    <w:basedOn w:val="a"/>
    <w:link w:val="aff6"/>
    <w:rPr>
      <w:sz w:val="20"/>
      <w:szCs w:val="20"/>
    </w:rPr>
  </w:style>
  <w:style w:type="character" w:styleId="aff6" w:customStyle="1">
    <w:name w:val="Текст примечания Знак"/>
    <w:basedOn w:val="a0"/>
    <w:link w:val="aff5"/>
  </w:style>
  <w:style w:type="paragraph" w:styleId="13" w:customStyle="1">
    <w:name w:val="Обычный1"/>
    <w:pPr>
      <w:spacing w:before="100" w:after="100"/>
    </w:pPr>
    <w:rPr>
      <w:sz w:val="24"/>
    </w:rPr>
  </w:style>
  <w:style w:type="paragraph" w:styleId="ConsPlusNonformat" w:customStyle="1">
    <w:name w:val="ConsPlusNonformat"/>
    <w:rPr>
      <w:rFonts w:ascii="Courier New" w:hAnsi="Courier New" w:cs="Courier New"/>
    </w:rPr>
  </w:style>
  <w:style w:type="paragraph" w:styleId="ConsPlusCell" w:customStyle="1">
    <w:name w:val="ConsPlusCell"/>
    <w:rPr>
      <w:rFonts w:ascii="Arial" w:hAnsi="Arial" w:cs="Arial"/>
    </w:rPr>
  </w:style>
  <w:style w:type="paragraph" w:styleId="ConsPlusTitle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35">
    <w:name w:val="Body Text 3"/>
    <w:basedOn w:val="a"/>
    <w:link w:val="36"/>
    <w:pPr>
      <w:jc w:val="center"/>
    </w:pPr>
    <w:rPr>
      <w:sz w:val="28"/>
      <w:szCs w:val="20"/>
    </w:rPr>
  </w:style>
  <w:style w:type="character" w:styleId="36" w:customStyle="1">
    <w:name w:val="Основной текст 3 Знак"/>
    <w:link w:val="35"/>
    <w:rPr>
      <w:sz w:val="28"/>
    </w:rPr>
  </w:style>
  <w:style w:type="paragraph" w:styleId="210" w:customStyle="1">
    <w:name w:val="Основной текст 21"/>
    <w:basedOn w:val="a"/>
    <w:pPr>
      <w:spacing w:line="360" w:lineRule="auto"/>
      <w:jc w:val="both"/>
    </w:pPr>
    <w:rPr>
      <w:sz w:val="28"/>
      <w:szCs w:val="20"/>
    </w:rPr>
  </w:style>
  <w:style w:type="paragraph" w:styleId="211" w:customStyle="1">
    <w:name w:val="Основной текст с отступом 21"/>
    <w:basedOn w:val="a"/>
    <w:pPr>
      <w:ind w:firstLine="720"/>
      <w:jc w:val="both"/>
    </w:pPr>
    <w:rPr>
      <w:szCs w:val="20"/>
    </w:rPr>
  </w:style>
  <w:style w:type="paragraph" w:styleId="14" w:customStyle="1">
    <w:name w:val="çàãîëîâîê 1"/>
    <w:basedOn w:val="a"/>
    <w:next w:val="a"/>
    <w:pPr>
      <w:keepNext/>
      <w:jc w:val="both"/>
    </w:pPr>
    <w:rPr>
      <w:b/>
      <w:szCs w:val="20"/>
    </w:rPr>
  </w:style>
  <w:style w:type="paragraph" w:styleId="29" w:customStyle="1">
    <w:name w:val="çàãîëîâîê 2"/>
    <w:basedOn w:val="a"/>
    <w:next w:val="a"/>
    <w:pPr>
      <w:keepNext/>
      <w:spacing w:line="360" w:lineRule="auto"/>
      <w:jc w:val="both"/>
    </w:pPr>
    <w:rPr>
      <w:b/>
      <w:sz w:val="28"/>
      <w:szCs w:val="20"/>
    </w:rPr>
  </w:style>
  <w:style w:type="character" w:styleId="a6" w:customStyle="1">
    <w:name w:val="Название Знак"/>
    <w:link w:val="a5"/>
    <w:rPr>
      <w:sz w:val="24"/>
    </w:rPr>
  </w:style>
  <w:style w:type="character" w:styleId="af3" w:customStyle="1">
    <w:name w:val="Текст сноски Знак"/>
    <w:basedOn w:val="a0"/>
    <w:link w:val="af2"/>
  </w:style>
  <w:style w:type="character" w:styleId="aff0" w:customStyle="1">
    <w:name w:val="Схема документа Знак"/>
    <w:link w:val="aff"/>
    <w:uiPriority w:val="99"/>
    <w:semiHidden/>
    <w:rPr>
      <w:rFonts w:ascii="Tahoma" w:hAnsi="Tahoma" w:cs="Tahoma"/>
      <w:color w:val="000000"/>
      <w:shd w:val="clear" w:color="auto" w:fill="000080"/>
    </w:rPr>
  </w:style>
  <w:style w:type="paragraph" w:styleId="15" w:customStyle="1">
    <w:name w:val="Основной текст с отступом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line="276" w:lineRule="auto"/>
      <w:ind w:left="283"/>
    </w:pPr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13019</Characters>
  <CharactersWithSpaces>15272</CharactersWithSpaces>
  <Company/>
  <DocSecurity>0</DocSecurity>
  <HyperlinksChanged>false</HyperlinksChanged>
  <Lines>108</Lines>
  <LinksUpToDate>false</LinksUpToDate>
  <Pages>8</Pages>
  <Paragraphs>30</Paragraphs>
  <ScaleCrop>false</ScaleCrop>
  <SharedDoc>false</SharedDoc>
  <Template>Normal</Template>
  <TotalTime>165</TotalTime>
  <Words>2283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Федерального агентства морского и речного транспорта от 29 декабря 2006 г</dc:title>
  <dc:creator>Ruslan</dc:creator>
  <cp:lastModifiedBy>Юндт Мария Алексеевна</cp:lastModifiedBy>
  <cp:revision>23</cp:revision>
  <cp:lastPrinted>2025-03-31T03:43:00Z</cp:lastPrinted>
  <dcterms:created xsi:type="dcterms:W3CDTF">2020-11-10T02:11:00Z</dcterms:created>
  <dcterms:modified xsi:type="dcterms:W3CDTF">2025-05-21T08:16:00Z</dcterms:modified>
  <cp:version>983040</cp:version>
</cp:coreProperties>
</file>