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5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5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№ 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ЗАКОН</w:t>
      </w: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  <w:b/>
          <w:sz w:val="40"/>
          <w:szCs w:val="40"/>
        </w:rPr>
      </w:pPr>
      <w:r>
        <w:rPr>
          <w:rFonts w:ascii="Times New Roman" w:hAnsi="Times New Roman" w:eastAsia="Times New Roman"/>
          <w:b/>
          <w:sz w:val="40"/>
          <w:szCs w:val="40"/>
        </w:rPr>
        <w:t xml:space="preserve">НОВОСИБИРСКОЙ ОБЛАСТИ</w:t>
      </w:r>
      <w:r>
        <w:rPr>
          <w:rFonts w:ascii="Times New Roman" w:hAnsi="Times New Roman" w:eastAsia="Times New Roman"/>
          <w:b/>
          <w:sz w:val="40"/>
          <w:szCs w:val="40"/>
        </w:rPr>
      </w:r>
      <w:r>
        <w:rPr>
          <w:rFonts w:ascii="Times New Roman" w:hAnsi="Times New Roman" w:eastAsia="Times New Roman"/>
          <w:b/>
          <w:sz w:val="40"/>
          <w:szCs w:val="40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 внесении изменений в статьи 3 и 6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Закона Новосибирской области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«О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предоставлении меры социальной поддержки в виде компенсации расходов, связанных с осуществлением мероприятий по газификации»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62"/>
        <w:jc w:val="center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 1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sz w:val="28"/>
          <w:szCs w:val="28"/>
        </w:rPr>
        <w:t xml:space="preserve">Закон</w:t>
      </w:r>
      <w:r>
        <w:rPr>
          <w:rFonts w:ascii="Times New Roman" w:hAnsi="Times New Roman" w:eastAsia="Times New Roman"/>
          <w:sz w:val="28"/>
          <w:szCs w:val="28"/>
        </w:rPr>
        <w:t xml:space="preserve"> Новосибирской области от 1 июня 2022 года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214-ОЗ «О </w:t>
      </w:r>
      <w:r>
        <w:rPr>
          <w:rFonts w:ascii="Times New Roman" w:hAnsi="Times New Roman" w:eastAsia="Times New Roman"/>
          <w:sz w:val="28"/>
          <w:szCs w:val="28"/>
        </w:rPr>
        <w:t xml:space="preserve">предоставлении меры социальной поддержки в виде компенсации расходов, связанных с осуществлением мероприятий по газификации» (с изменениями, вн</w:t>
      </w:r>
      <w:r>
        <w:rPr>
          <w:rFonts w:ascii="Times New Roman" w:hAnsi="Times New Roman" w:eastAsia="Times New Roman"/>
          <w:sz w:val="28"/>
          <w:szCs w:val="28"/>
        </w:rPr>
        <w:t xml:space="preserve">есенными Законами Новосибирской области от 16 декабря 2022 года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293-ОЗ, от 4 октября 2023 года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380-ОЗ, от 12 </w:t>
      </w:r>
      <w:r>
        <w:rPr>
          <w:rFonts w:ascii="Times New Roman" w:hAnsi="Times New Roman" w:eastAsia="Times New Roman"/>
          <w:sz w:val="28"/>
          <w:szCs w:val="28"/>
        </w:rPr>
        <w:t xml:space="preserve">марта 2024 года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426-ОЗ, от 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июня </w:t>
      </w:r>
      <w:r>
        <w:rPr>
          <w:rFonts w:ascii="Times New Roman" w:hAnsi="Times New Roman" w:eastAsia="Times New Roman"/>
          <w:sz w:val="28"/>
          <w:szCs w:val="28"/>
        </w:rPr>
        <w:t xml:space="preserve">2024</w:t>
      </w:r>
      <w:r>
        <w:rPr>
          <w:rFonts w:ascii="Times New Roman" w:hAnsi="Times New Roman" w:eastAsia="Times New Roman"/>
          <w:sz w:val="28"/>
          <w:szCs w:val="28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</w:rPr>
        <w:t xml:space="preserve">452-ОЗ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/>
          <w:sz w:val="28"/>
          <w:szCs w:val="28"/>
        </w:rPr>
        <w:t xml:space="preserve">28 ноября 2024 года </w:t>
      </w:r>
      <w:r>
        <w:rPr>
          <w:rFonts w:ascii="Times New Roman" w:hAnsi="Times New Roman" w:eastAsia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/>
          <w:sz w:val="28"/>
          <w:szCs w:val="28"/>
        </w:rPr>
        <w:t xml:space="preserve">512-ОЗ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ascii="Times New Roman" w:hAnsi="Times New Roman" w:eastAsia="Times New Roman"/>
          <w:sz w:val="28"/>
          <w:szCs w:val="28"/>
        </w:rPr>
        <w:t xml:space="preserve">следующие изменени</w:t>
      </w:r>
      <w:r>
        <w:rPr>
          <w:rFonts w:ascii="Times New Roman" w:hAnsi="Times New Roman" w:eastAsia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1) статью 3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Статья 3. Компенсация</w:t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Гражданам, указанным в статье 2 настоящего Закона, предоставляется компенсация фактически понесенных ими расходов, связанных с осуществлением мероприятий по газификации жилого дома,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 не более 100 000 рублей.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К расходам, связанным с осуществлением 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мероприятий по газификации жилого дома, относятся: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1) расходы на 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каций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2) расходы на 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</w:t>
      </w: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ие газопровода на герметичность, на выполнение пусконаладочных работ, проведение контрольной опрессовки газопровода;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3) расходы на покупку и установку газоиспользующего оборудования, включая в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котел (газовый двухконтурный или одноконтурный напольный котел, газовый двухконтурный или одноконтурный настенный котел);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газовый водонагреватель;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газовую плиту, газовую варочную панель;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счетчики газа или прибор учета газа;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колонк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у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или бойлер косвенного нагрева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систему контроля загазованности;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12121"/>
          <w:sz w:val="28"/>
          <w:szCs w:val="28"/>
        </w:rP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домовладений и для пищеприготовления.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Если граждане, указанные в статье 2 настоящего Закона,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воспользо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вались правом на 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присоединения)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«Развитие рынка природного газа как моторного топлива», осуществляемых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 – субсидия), им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предоставляетс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компенсация фактически понесенных ими расходов, связанных с осуществлением мероприятий по газификации жилого дома, указанных в части второй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оящей статьи,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вычетом расходов, оплаченных за счет средств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в статье 6 слова «до 31 декабря 2025 года» заменить словами «до окончания действия региональной программы Новосибирской области в сфере газификации».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tabs>
          <w:tab w:val="left" w:pos="8140" w:leader="none"/>
        </w:tabs>
        <w:rPr>
          <w:rFonts w:ascii="Times New Roman" w:hAnsi="Times New Roman" w:eastAsia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Статья 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</w:r>
      <w:r>
        <w:rPr>
          <w:rFonts w:ascii="Times New Roman" w:hAnsi="Times New Roman" w:eastAsia="Times New Roman"/>
          <w:b/>
          <w:sz w:val="28"/>
          <w:szCs w:val="28"/>
          <w:lang w:val="en-US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истечении 10 дней после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официального опубликования.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Губернатор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Новосибирской области                               </w:t>
      </w:r>
      <w:r>
        <w:rPr>
          <w:rFonts w:ascii="Times New Roman" w:hAnsi="Times New Roman" w:eastAsia="Times New Roman"/>
          <w:sz w:val="28"/>
          <w:szCs w:val="28"/>
        </w:rPr>
        <w:tab/>
        <w:tab/>
        <w:t xml:space="preserve"> 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А.А. Травников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г. Новосибирск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«___»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___________ 20</w:t>
      </w:r>
      <w:r>
        <w:rPr>
          <w:rFonts w:ascii="Times New Roman" w:hAnsi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62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№_______________ – ОЗ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3">
    <w:name w:val="Основной шрифт абзаца"/>
    <w:next w:val="863"/>
    <w:link w:val="862"/>
    <w:uiPriority w:val="1"/>
    <w:unhideWhenUsed/>
  </w:style>
  <w:style w:type="table" w:styleId="864">
    <w:name w:val="Обычная таблица"/>
    <w:next w:val="864"/>
    <w:link w:val="862"/>
    <w:uiPriority w:val="99"/>
    <w:semiHidden/>
    <w:unhideWhenUsed/>
    <w:tblPr/>
  </w:style>
  <w:style w:type="numbering" w:styleId="865">
    <w:name w:val="Нет списка"/>
    <w:next w:val="865"/>
    <w:link w:val="862"/>
    <w:uiPriority w:val="99"/>
    <w:semiHidden/>
    <w:unhideWhenUsed/>
  </w:style>
  <w:style w:type="paragraph" w:styleId="866">
    <w:name w:val="Верхний колонтитул"/>
    <w:basedOn w:val="862"/>
    <w:next w:val="866"/>
    <w:link w:val="867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867">
    <w:name w:val="Верхний колонтитул Знак"/>
    <w:next w:val="867"/>
    <w:link w:val="866"/>
    <w:uiPriority w:val="99"/>
    <w:rPr>
      <w:rFonts w:ascii="Calibri" w:hAnsi="Calibri" w:eastAsia="Times New Roman" w:cs="Times New Roman"/>
    </w:rPr>
  </w:style>
  <w:style w:type="paragraph" w:styleId="868">
    <w:name w:val="Текст выноски"/>
    <w:basedOn w:val="862"/>
    <w:next w:val="868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>
    <w:name w:val="Текст выноски Знак"/>
    <w:next w:val="869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>
    <w:name w:val="Знак примечания"/>
    <w:next w:val="870"/>
    <w:link w:val="862"/>
    <w:uiPriority w:val="99"/>
    <w:semiHidden/>
    <w:unhideWhenUsed/>
    <w:rPr>
      <w:sz w:val="16"/>
      <w:szCs w:val="16"/>
    </w:rPr>
  </w:style>
  <w:style w:type="paragraph" w:styleId="871">
    <w:name w:val="Текст примечания"/>
    <w:basedOn w:val="862"/>
    <w:next w:val="871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>
    <w:name w:val="Текст примечания Знак"/>
    <w:next w:val="872"/>
    <w:link w:val="871"/>
    <w:uiPriority w:val="99"/>
    <w:semiHidden/>
    <w:rPr>
      <w:sz w:val="20"/>
      <w:szCs w:val="20"/>
    </w:rPr>
  </w:style>
  <w:style w:type="paragraph" w:styleId="873">
    <w:name w:val="Тема примечания"/>
    <w:basedOn w:val="871"/>
    <w:next w:val="871"/>
    <w:link w:val="874"/>
    <w:uiPriority w:val="99"/>
    <w:semiHidden/>
    <w:unhideWhenUsed/>
    <w:rPr>
      <w:b/>
      <w:bCs/>
    </w:rPr>
  </w:style>
  <w:style w:type="character" w:styleId="874">
    <w:name w:val="Тема примечания Знак"/>
    <w:next w:val="874"/>
    <w:link w:val="873"/>
    <w:uiPriority w:val="99"/>
    <w:semiHidden/>
    <w:rPr>
      <w:b/>
      <w:bCs/>
      <w:sz w:val="20"/>
      <w:szCs w:val="20"/>
    </w:rPr>
  </w:style>
  <w:style w:type="paragraph" w:styleId="875">
    <w:name w:val="Standard"/>
    <w:next w:val="875"/>
    <w:link w:val="862"/>
    <w:pPr>
      <w:widowControl w:val="off"/>
    </w:pPr>
    <w:rPr>
      <w:rFonts w:ascii="Arial" w:hAnsi="Arial" w:eastAsia="SimSun" w:cs="Arial"/>
      <w:sz w:val="21"/>
      <w:szCs w:val="24"/>
      <w:lang w:val="ru-RU" w:eastAsia="hi-IN" w:bidi="hi-IN"/>
    </w:rPr>
  </w:style>
  <w:style w:type="paragraph" w:styleId="876">
    <w:name w:val="Абзац списка"/>
    <w:basedOn w:val="862"/>
    <w:next w:val="876"/>
    <w:link w:val="862"/>
    <w:uiPriority w:val="34"/>
    <w:qFormat/>
    <w:pPr>
      <w:contextualSpacing/>
      <w:ind w:left="720"/>
    </w:pPr>
  </w:style>
  <w:style w:type="paragraph" w:styleId="877">
    <w:name w:val="ConsPlusNormal"/>
    <w:next w:val="877"/>
    <w:link w:val="862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78">
    <w:name w:val="Гиперссылка"/>
    <w:next w:val="878"/>
    <w:link w:val="862"/>
    <w:uiPriority w:val="99"/>
    <w:unhideWhenUsed/>
    <w:rPr>
      <w:color w:val="0563c1"/>
      <w:u w:val="single"/>
    </w:rPr>
  </w:style>
  <w:style w:type="paragraph" w:styleId="879">
    <w:name w:val="Нижний колонтитул"/>
    <w:basedOn w:val="862"/>
    <w:next w:val="879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uiPriority w:val="99"/>
    <w:rPr>
      <w:sz w:val="22"/>
      <w:szCs w:val="22"/>
      <w:lang w:eastAsia="en-US"/>
    </w:rPr>
  </w:style>
  <w:style w:type="paragraph" w:styleId="881">
    <w:name w:val="Текст концевой сноски"/>
    <w:basedOn w:val="862"/>
    <w:next w:val="881"/>
    <w:link w:val="882"/>
    <w:uiPriority w:val="99"/>
    <w:semiHidden/>
    <w:unhideWhenUsed/>
    <w:rPr>
      <w:sz w:val="20"/>
      <w:szCs w:val="20"/>
    </w:rPr>
  </w:style>
  <w:style w:type="character" w:styleId="882">
    <w:name w:val="Текст концевой сноски Знак"/>
    <w:next w:val="882"/>
    <w:link w:val="881"/>
    <w:uiPriority w:val="99"/>
    <w:semiHidden/>
    <w:rPr>
      <w:lang w:eastAsia="en-US"/>
    </w:rPr>
  </w:style>
  <w:style w:type="character" w:styleId="883">
    <w:name w:val="Знак концевой сноски"/>
    <w:next w:val="883"/>
    <w:link w:val="862"/>
    <w:uiPriority w:val="99"/>
    <w:semiHidden/>
    <w:unhideWhenUsed/>
    <w:rPr>
      <w:vertAlign w:val="superscript"/>
    </w:rPr>
  </w:style>
  <w:style w:type="paragraph" w:styleId="884">
    <w:name w:val="Текст сноски"/>
    <w:basedOn w:val="862"/>
    <w:next w:val="884"/>
    <w:link w:val="885"/>
    <w:uiPriority w:val="99"/>
    <w:semiHidden/>
    <w:unhideWhenUsed/>
    <w:rPr>
      <w:sz w:val="20"/>
      <w:szCs w:val="20"/>
    </w:rPr>
  </w:style>
  <w:style w:type="character" w:styleId="885">
    <w:name w:val="Текст сноски Знак"/>
    <w:next w:val="885"/>
    <w:link w:val="884"/>
    <w:uiPriority w:val="99"/>
    <w:semiHidden/>
    <w:rPr>
      <w:lang w:eastAsia="en-US"/>
    </w:rPr>
  </w:style>
  <w:style w:type="character" w:styleId="886">
    <w:name w:val="Знак сноски"/>
    <w:next w:val="886"/>
    <w:link w:val="862"/>
    <w:uiPriority w:val="99"/>
    <w:semiHidden/>
    <w:unhideWhenUsed/>
    <w:rPr>
      <w:vertAlign w:val="superscript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revision>101</cp:revision>
  <dcterms:created xsi:type="dcterms:W3CDTF">2024-07-04T05:42:00Z</dcterms:created>
  <dcterms:modified xsi:type="dcterms:W3CDTF">2025-04-30T03:40:30Z</dcterms:modified>
  <cp:version>983040</cp:version>
</cp:coreProperties>
</file>