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2"/>
        <w:ind w:left="9072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</w:rPr>
      </w:r>
      <w:bookmarkStart w:id="0" w:name="_GoBack"/>
      <w:r>
        <w:rPr>
          <w:color w:val="000000" w:themeColor="text1"/>
        </w:rPr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72"/>
        <w:ind w:left="9072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ключевым показателям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</w:p>
    <w:p>
      <w:pPr>
        <w:pStyle w:val="752"/>
        <w:ind w:left="9072" w:firstLine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эффективности пилотного проекта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752"/>
        <w:ind w:left="9072" w:firstLine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созданию системы долговременного ухода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752"/>
        <w:ind w:left="9072" w:firstLine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 гражданами пожилого возраста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752"/>
        <w:ind w:left="9072" w:firstLine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инвалидами, нуждающимися в уходе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752"/>
        <w:ind w:left="9072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52"/>
        <w:ind w:left="9072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52"/>
        <w:ind w:left="9072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72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РАСЧЕТ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672"/>
        <w:jc w:val="center"/>
        <w:spacing w:before="0"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показателей эффективности пилотного проекта по созданию системы долговременного ухода за гражданами пожилого возраста и инвалидами, нуждающимися в уходе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672"/>
        <w:jc w:val="center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72"/>
        <w:jc w:val="center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Style w:val="760"/>
        <w:tblW w:w="15706" w:type="dxa"/>
        <w:jc w:val="center"/>
        <w:tblInd w:w="0" w:type="dxa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568"/>
        <w:gridCol w:w="2127"/>
        <w:gridCol w:w="2126"/>
        <w:gridCol w:w="2125"/>
        <w:gridCol w:w="6521"/>
        <w:gridCol w:w="2238"/>
      </w:tblGrid>
      <w:tr>
        <w:tblPrEx/>
        <w:trPr/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Наименование целевого результата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Наименование показателя эффективности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5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Формула расчета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238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Источник информации для расчета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5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238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71"/>
        </w:trPr>
        <w:tc>
          <w:tcPr>
            <w:gridSpan w:val="6"/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15705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Медицинские показатели эффективности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Снижение уровня (частоты) госпитализаций граждан, получающих социальные услуги в рамках системы долговременного ухода, в медицинские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Частота госпитализаций граждан, получающих социальные услуги в рамках системы долговременного ухода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5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Случаев на 100 человек, получающих социальные услуги в рамках системы долговременного ухода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</w:r>
            <m:oMath>
              <m:r>
                <w:rPr>
                  <w:rFonts w:ascii="Cambria Math" w:hAnsi="Cambria Math"/>
                  <w:color w:val="000000" w:themeColor="text1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= У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У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где У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У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частота госпитализаций граждан, получающих социальные услуги в рамках системы долговременного ухода, в расчете на 100 человек, получающих такие услуги, в отчетном периоде и периоде, предшествующем отчетному, соответственно;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rPr/>
                    <m:t>N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о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г</m:t>
                        </m:r>
                      </m:e>
                    </m:mr>
                  </m:m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rPr/>
                    <m:t>N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о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s</m:t>
                        </m:r>
                      </m:e>
                    </m:mr>
                  </m:m>
                </m:den>
              </m:f>
              <m:r>
                <w:rPr>
                  <w:rFonts w:ascii="Cambria Math" w:hAnsi="Cambria Math"/>
                  <w:color w:val="000000" w:themeColor="text1"/>
                </w:rPr>
                <m:rPr/>
                <m:t>×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где N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численность госпитализированных граждан, получающих социальные услуги в рамках системы долговременного ухода, в отчетном периоде;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N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s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среднегодовая численность граждан, получающих социальные услуги в рамках системы долговременного ухода, в отчетном периоде;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rPr/>
                    <m:t>N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п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г</m:t>
                        </m:r>
                      </m:e>
                    </m:mr>
                  </m:m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rPr/>
                    <m:t>N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п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s</m:t>
                        </m:r>
                      </m:e>
                    </m:mr>
                  </m:m>
                </m:den>
              </m:f>
              <m:r>
                <w:rPr>
                  <w:rFonts w:ascii="Cambria Math" w:hAnsi="Cambria Math"/>
                  <w:color w:val="000000" w:themeColor="text1"/>
                </w:rPr>
                <m:rPr/>
                <m:t>×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где N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численность граждан, получающих социальные услуги в рамках системы долговременного ухода, госпитализированных в периоде, предшествующем отчетному;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N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s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среднегодовая численность граждан, получающих социальные услуги в рамках системы долговременного ухода, в периоде, предшествующем отчетному;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Среднегодовая численность граждан, получающих социальные услуги в рамках системы долговременного ухода, рассчитывается по формуле: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N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s</m:t>
                    </m:r>
                  </m:e>
                </m:mr>
              </m:m>
            </m:oMath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rPr/>
                    <m:t>N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н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s</m:t>
                        </m:r>
                      </m:e>
                    </m:mr>
                  </m:m>
                  <m:r>
                    <w:rPr>
                      <w:rFonts w:ascii="Cambria Math" w:hAnsi="Cambria Math"/>
                      <w:color w:val="000000" w:themeColor="text1"/>
                    </w:rPr>
                    <m:rPr/>
                    <m:t>+</m:t>
                  </m:r>
                  <m:r>
                    <w:rPr>
                      <w:rFonts w:ascii="Cambria Math" w:hAnsi="Cambria Math"/>
                      <w:color w:val="000000" w:themeColor="text1"/>
                    </w:rPr>
                    <m:rPr/>
                    <m:t>N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к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s</m:t>
                        </m:r>
                      </m:e>
                    </m:mr>
                  </m:m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rPr/>
                    <m:t>2</m:t>
                  </m:r>
                </m:den>
              </m:f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где N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н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s</m:t>
                    </m:r>
                  </m:e>
                </m:mr>
              </m:m>
            </m:oMath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N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к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s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численность граждан, получающих социальные услуги в рамках системы долговременного ухода, на начало и конец периода, соответственно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238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Медицинская информационная система Новосибирской области,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государственная информационная система Новосибирской области «Территориальная информационная система «Социальный портрет гражданина и типизированное хранилище данных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Снижение частоты вызовов скорой медицинской помощи к гражданам, получающим социальные услуги в рамках системы долговременного ухода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Частота вызовов скорой медицинской помощи к гражданам, получающим социальные услуги в рамках системы долговременного ухода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5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Случаев на 100 человек, получающих социальные услуги в рамках системы долговременного ухода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</w:r>
            <m:oMath>
              <m:r>
                <w:rPr>
                  <w:rFonts w:ascii="Cambria Math" w:hAnsi="Cambria Math"/>
                  <w:color w:val="000000" w:themeColor="text1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</w:t>
            </w:r>
            <m:oMath>
              <m:r>
                <w:rPr>
                  <w:rFonts w:ascii="Cambria Math" w:hAnsi="Cambria Math"/>
                  <w:color w:val="000000" w:themeColor="text1"/>
                </w:rPr>
                <m:rPr/>
                <m:t>смп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= Ч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смп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Ч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смп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где Ч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смп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Ч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смп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частота вызовов скорой медицинско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й помощи к гражданам, получающим социальные услуги в рамках системы долговременного ухода в расчете на 100 человек, получающих социальные услуги в рамках системы долговременного ухода, в отчетном периоде и периоде, предшествующем отчетному, соответственно;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смп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rPr/>
                    <m:t>В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о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смп</m:t>
                        </m:r>
                      </m:e>
                    </m:mr>
                  </m:m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rPr/>
                    <m:t>N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о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s</m:t>
                        </m:r>
                      </m:e>
                    </m:mr>
                  </m:m>
                </m:den>
              </m:f>
              <m:r>
                <w:rPr>
                  <w:rFonts w:ascii="Cambria Math" w:hAnsi="Cambria Math"/>
                  <w:color w:val="000000" w:themeColor="text1"/>
                </w:rPr>
                <m:rPr/>
                <m:t>×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где В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смп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количество выездов скорой медицинской помощи к гражданам, получающим социальные услуги в рамках системы долговременного ухода, в отчетном периоде;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N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s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среднегодовая численность граждан, получающих социальные услуги в рамках системы долговременного ухода, в отчетном периоде;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смп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rPr/>
                    <m:t>В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п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смп</m:t>
                        </m:r>
                      </m:e>
                    </m:mr>
                  </m:m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rPr/>
                    <m:t>N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п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s</m:t>
                        </m:r>
                      </m:e>
                    </m:mr>
                  </m:m>
                </m:den>
              </m:f>
              <m:r>
                <w:rPr>
                  <w:rFonts w:ascii="Cambria Math" w:hAnsi="Cambria Math"/>
                  <w:color w:val="000000" w:themeColor="text1"/>
                </w:rPr>
                <m:rPr/>
                <m:t>×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где В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смп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количество вызовов скорой медицинской помощи к гражданам, получающим социальные услуги в рамках системы долговременного ухода, в периоде, предшествующем отчетному;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N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s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среднегодовая численность граждан, получающих социальные услуги в рамках системы долговременного ухода, в периоде, предшествующем отчетному.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Среднегодовая численность граждан, получающих социальные услуги в рамках системы долговременного ухода, рассчитывается по формуле, приведенной в пункте 1 настоящего приложения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238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Медицинская информационная система Новосибирской области,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государственная информационная система Новосибирской области «Территориальная информационная система «Социальный портрет гражданина и типизированное хранилище данных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Снижение частоты обращений за первичной медико-санитарной помощью граждан, получающих социальные услуги в рамках системы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долговременного ухода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Частота обращений за первичной медико-санитарной помощью граждан, получающих социальные услуги в рамках системы долговременного ухода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5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Случаев на 100 человек, получающих социальные услуги в рамках системы долговременного ухода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</w:r>
            <m:oMath>
              <m:r>
                <w:rPr>
                  <w:rFonts w:ascii="Cambria Math" w:hAnsi="Cambria Math"/>
                  <w:color w:val="000000" w:themeColor="text1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</w:t>
            </w:r>
            <m:oMath>
              <m:r>
                <w:rPr>
                  <w:rFonts w:ascii="Cambria Math" w:hAnsi="Cambria Math"/>
                  <w:color w:val="000000" w:themeColor="text1"/>
                </w:rPr>
                <m:rPr/>
                <m:t>пмсп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= Ч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пмсп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Ч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пмсп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где Ч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пмсп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Ч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пмсп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частота обращений за первичной медико-санитар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ной помощью граждан, получающих социальные услуги в рамках системы долговременного ухода, в расчете на 100 человек, получающих социальные услуги в рамках системы долговременного ухода, в отчетном периоде и периоде, предшествующем отчетному, соответственно;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пмсп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rPr/>
                    <m:t>О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о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пмсп</m:t>
                        </m:r>
                      </m:e>
                    </m:mr>
                  </m:m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rPr/>
                    <m:t>N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о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s</m:t>
                        </m:r>
                      </m:e>
                    </m:mr>
                  </m:m>
                </m:den>
              </m:f>
              <m:r>
                <w:rPr>
                  <w:rFonts w:ascii="Cambria Math" w:hAnsi="Cambria Math"/>
                  <w:color w:val="000000" w:themeColor="text1"/>
                </w:rPr>
                <m:rPr/>
                <m:t>×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где О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пмсп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количество обращений за первичной медико-санитарной помощью граждан, получающих социальные услуги в рамках системы долговременного ухода, в отчетном периоде;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N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s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среднегодовая численность граждан, получающих социальные услуги в рамках системы долговременного ухода, в отчетном периоде;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пмсп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rPr/>
                    <m:t>О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п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пмсп</m:t>
                        </m:r>
                      </m:e>
                    </m:mr>
                  </m:m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rPr/>
                    <m:t>N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п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s</m:t>
                        </m:r>
                      </m:e>
                    </m:mr>
                  </m:m>
                </m:den>
              </m:f>
              <m:r>
                <w:rPr>
                  <w:rFonts w:ascii="Cambria Math" w:hAnsi="Cambria Math"/>
                  <w:color w:val="000000" w:themeColor="text1"/>
                </w:rPr>
                <m:rPr/>
                <m:t>×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где О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пмсп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количество обращений за первичной медико-санитарной помощью граждан, получающих социальные услуги в рамках системы долговременного ухода в периоде, предшествующем отчетному;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N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s</m:t>
                    </m:r>
                  </m:e>
                </m:mr>
              </m:m>
            </m:oMath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– среднегодовая численность граждан, получающих социальные услуги в рамках системы долговременного ухода, в периоде, предшествующем отчетному.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Среднегодовая численность граждан, получающих социальные услуги в рамках системы долговременного ухода, рассчитывается по формуле, приведенной в пункте 1 настоящего приложения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238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Медицинская информационная система Новосибирской области,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государственная информационная система Новосибирской области «Территориальная информационная система «Социальный портрет гражданина и типизированное хранилище данных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gridSpan w:val="6"/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15705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Социально-экономические показатели эффективности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Рост численности занятых за счет создания новых рабочих мест помощников по уходу в системе долговременного ухода в организациях социального обслуживания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Численность граждан, трудоустроенных помощниками по уходу на новых рабочих местах в организациях социального обслуживания, в том числе в государствен-ных и негосудар-ственных организациях социального обслуживания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5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Человек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</w:r>
            <m:oMath>
              <m:r>
                <w:rPr>
                  <w:rFonts w:ascii="Cambria Math" w:hAnsi="Cambria Math"/>
                  <w:color w:val="000000" w:themeColor="text1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 = </w:t>
            </w:r>
            <m:oMath>
              <m:r>
                <w:rPr>
                  <w:rFonts w:ascii="Cambria Math" w:hAnsi="Cambria Math"/>
                  <w:color w:val="000000" w:themeColor="text1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m:oMath>
              <m:r>
                <w:rPr>
                  <w:rFonts w:ascii="Cambria Math" w:hAnsi="Cambria Math"/>
                  <w:color w:val="000000" w:themeColor="text1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н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где </w:t>
            </w:r>
            <m:oMath>
              <m:r>
                <w:rPr>
                  <w:rFonts w:ascii="Cambria Math" w:hAnsi="Cambria Math"/>
                  <w:color w:val="000000" w:themeColor="text1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/>
                  <w:color w:val="000000" w:themeColor="text1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н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прирост численности граждан, трудоустроенных помощниками по уходу на новых рабочих местах в государственных и негосударственных организациях социального обслуживания, соответственно;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</w:r>
            <m:oMath>
              <m:r>
                <w:rPr>
                  <w:rFonts w:ascii="Cambria Math" w:hAnsi="Cambria Math"/>
                  <w:color w:val="000000" w:themeColor="text1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= З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З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где З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 – численность граждан, трудоустроенных помощниками по уходу на новых рабочих местах в отчетном периоде в государственных организациях социального обслуживания;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 – численность граждан, трудоустроенных помощниками по уходу на новых рабочих местах в периоде, предшествующем отчетному, в государственных организациях социального обслуживания;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</w:r>
            <m:oMath>
              <m:r>
                <w:rPr>
                  <w:rFonts w:ascii="Cambria Math" w:hAnsi="Cambria Math"/>
                  <w:color w:val="000000" w:themeColor="text1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н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= З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н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З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н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где З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н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численность граждан, трудоустроенных помощниками по уходу на новых рабочих местах в отчетном периоде в негосударственных организациях социального обслуживания;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н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численность граждан, трудоустроенных помощниками по уходу на новых рабочих местах в периоде, предшествующем отчетному, в негосударственных организациях социального обслуживания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238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органов местного самоуправления, в ведении которых находятся комплексные центры социального обслуживания (по запросу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министерства труда и социального развития Новосибирской области)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Рост численности занятых в организациях социального обслуживания, которые до принятия на работу помощниками по уходу не осуществляли трудовую деятельность в течение 6 месяцев и более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Числ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енность граждан, ранее не осуществлявших трудовую деятельность в течение 6 месяцев и более, трудоустроенных помощниками по уходу в организации социального обслуживания, в том числе в государственные и негосударствен-ные организации социального обслуживания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125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  <w:highlight w:val="yellow"/>
              </w:rPr>
            </w:r>
            <w:r>
              <w:rPr>
                <w:color w:val="000000" w:themeColor="text1"/>
                <w:sz w:val="16"/>
                <w:szCs w:val="16"/>
                <w:highlight w:val="yellow"/>
              </w:rPr>
            </w:r>
            <w:r>
              <w:rPr>
                <w:color w:val="000000" w:themeColor="text1"/>
                <w:sz w:val="16"/>
                <w:szCs w:val="16"/>
                <w:highlight w:val="yellow"/>
              </w:rPr>
            </w:r>
          </w:p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m:oMath>
              <m:r>
                <w:rPr>
                  <w:rFonts w:ascii="Cambria Math" w:hAnsi="Cambria Math"/>
                  <w:color w:val="000000" w:themeColor="text1"/>
                  <w:highlight w:val="white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З = З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  <w:highlight w:val="white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highlight w:val="white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color w:val="000000" w:themeColor="text1"/>
                        <w:highlight w:val="white"/>
                      </w:rPr>
                      <m:rPr/>
                      <m:t/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+ З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  <w:highlight w:val="white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highlight w:val="white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color w:val="000000" w:themeColor="text1"/>
                        <w:highlight w:val="white"/>
                      </w:rPr>
                      <m:rPr/>
                      <m:t/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где З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  <w:highlight w:val="white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highlight w:val="white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color w:val="000000" w:themeColor="text1"/>
                        <w:highlight w:val="white"/>
                      </w:rPr>
                      <m:rPr/>
                      <m:t/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, З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  <w:highlight w:val="white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highlight w:val="white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color w:val="000000" w:themeColor="text1"/>
                        <w:highlight w:val="white"/>
                      </w:rPr>
                      <m:rPr/>
                      <m:t/>
                    </m:r>
                  </m:e>
                </m:mr>
              </m:m>
            </m:oMath>
            <w:r>
              <w:rPr>
                <w:color w:val="000000" w:themeColor="text1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–</w:t>
            </w:r>
            <w:r>
              <w:rPr>
                <w:color w:val="000000" w:themeColor="text1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исленнос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ть граждан, ранее не осуществлявших трудовую деятельность в течение 6 месяцев и более, трудоустроенных помощниками по уходу в организации социального обслуживания в рамках системы долговременного ухода, в отчетном периоде и периоде, предшествующем отчетном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у, соответственно (под гражданами, ранее не осуществлявшими трудовую деятельность, понимаются граждане, не осуществлявшие трудовую деятельность в течение 6 месяцев и более до даты трудоустройства помощниками по уходу в организации социального обслуживания)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238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органов местного самоуправления, в ведении которых находятся комплексные центры социального обслуживания (по запросу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министерства труда и социального развития Новосибирской области)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Рост численности родственников, других лиц, осуществляющих уход за гражданами, нуждающимися в уходе, принятых на работу помощниками по уходу в организации социального обслуживания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Численность родственников, других лиц, осуществляющих уход за гражданами, нуждающимися в уходе, принятых на работу помощниками по уходу в организации социального обслуживания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5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Человек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</w:r>
            <m:oMath>
              <m:r>
                <w:rPr>
                  <w:rFonts w:ascii="Cambria Math" w:hAnsi="Cambria Math"/>
                  <w:color w:val="000000" w:themeColor="text1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р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= З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р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З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р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где З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р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З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р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численность родственников, других лиц, осуществляющих уход за гражданами, нуждающимися в уходе, принятых на работу помощниками по уходу в организации социального обслуживания в отчетном периоде и периоде, предшествующем отчетному, соответственно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238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Мониторин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 функционирования системы долговременного ухода за гражданами пожилого возраста и инвалидами, нуждающимися в уходе, осуществляемый региональным координационным центром в соответствии с приказом министерства труда и социального развития Новосибирской облас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ти от 31.05.2023 № 788-НПА «Об утверждении порядка мониторинга функционирования системы долговременного ухода за гражданами пожилого возраста и инвалидами, нуждающимися в уходе, осуществляемого региональным координационным центром» (далее – Мониторинг СДУ)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322"/>
        </w:trPr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Рост численности родственников, других лиц, осуществляющих уход за гражданами, нуждающимися в уходе, сохранивших статус занятых в связи с внедрением системы долговременного ухода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Численность родственников,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других лиц, осуществляющих уход за граждана-ми, нуждающими-ся в уходе, сохранивших статус занятых в связи с внедрением системы долговременного ухода на рабочих местах, не связанных с предоставле-нием социальных услуг в рамках системы долговременного ухода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5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Человек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</w:r>
            <m:oMath>
              <m:r>
                <w:rPr>
                  <w:rFonts w:ascii="Cambria Math" w:hAnsi="Cambria Math"/>
                  <w:color w:val="000000" w:themeColor="text1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рз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= З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рз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З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рз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где З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рз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З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рз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численность родственников, других лиц, осуществляющих уход за гражданами, нуждающимися в уходе, занятых 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 рабочих местах, не связанных с предоставлением социальных услуг в рамках системы долговременного ухода, и сохранивших статус занятых в связи с внедрением системы долговременного ухода, в отчетном периоде и периоде, предшествующем отчетному, соответственно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238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органов местного самоуправления, в ведении которых находятся комплексные центры социального обслуживания (по запросу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министерства труда и социального развития Новосибирской области)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417"/>
        </w:trPr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Сумма налоговых поступлений и страховых взносов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Сумма дополнительно исчисленного налога на доходы физических лиц и страховых взносов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5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Рубль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= </w:t>
            </w:r>
            <m:oMath>
              <m:r>
                <w:rPr>
                  <w:rFonts w:ascii="Cambria Math" w:hAnsi="Cambria Math"/>
                  <w:color w:val="000000" w:themeColor="text1"/>
                  <w:highlight w:val="white"/>
                </w:rPr>
                <m:rPr/>
                <m:t>Σ</m:t>
              </m:r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4"/>
                  <w:szCs w:val="24"/>
                  <w:highlight w:val="white"/>
                  <w:lang w:val="en-US"/>
                </w:rPr>
                <m:rPr/>
                <m:t> 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НП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  <w:highlight w:val="white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highlight w:val="white"/>
                      </w:rPr>
                      <m:rPr/>
                      <m:t>ндфл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+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m:oMath>
              <m:r>
                <w:rPr>
                  <w:rFonts w:ascii="Cambria Math" w:hAnsi="Cambria Math"/>
                  <w:color w:val="000000" w:themeColor="text1"/>
                  <w:highlight w:val="white"/>
                </w:rPr>
                <m:rPr/>
                <m:t>Σ</m:t>
              </m:r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4"/>
                  <w:szCs w:val="24"/>
                  <w:highlight w:val="white"/>
                  <w:lang w:val="en-US"/>
                </w:rPr>
                <m:rPr/>
                <m:t> 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НП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  <w:highlight w:val="white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highlight w:val="white"/>
                      </w:rPr>
                      <m:rPr/>
                      <m:t>св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где </w:t>
            </w:r>
            <m:oMath>
              <m:r>
                <w:rPr>
                  <w:rFonts w:ascii="Cambria Math" w:hAnsi="Cambria Math"/>
                  <w:color w:val="000000" w:themeColor="text1"/>
                  <w:highlight w:val="white"/>
                </w:rPr>
                <m:rPr/>
                <m:t>Σ</m:t>
              </m:r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4"/>
                  <w:szCs w:val="24"/>
                  <w:highlight w:val="white"/>
                  <w:lang w:val="en-US"/>
                </w:rPr>
                <m:rPr/>
                <m:t> 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НП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  <w:highlight w:val="white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highlight w:val="white"/>
                      </w:rPr>
                      <m:rPr/>
                      <m:t>ндфл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– сумма исчисленного налога на доходы физических лиц по перечню работодателей и их работников, осуществляющих трудовую деятельность в должности «помощник по уходу»;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  <m:oMath>
              <m:r>
                <w:rPr>
                  <w:rFonts w:ascii="Cambria Math" w:hAnsi="Cambria Math"/>
                  <w:color w:val="000000" w:themeColor="text1"/>
                  <w:highlight w:val="white"/>
                </w:rPr>
                <m:rPr/>
                <m:t>Σ</m:t>
              </m:r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4"/>
                  <w:szCs w:val="24"/>
                  <w:highlight w:val="white"/>
                  <w:lang w:val="en-US"/>
                </w:rPr>
                <m:rPr/>
                <m:t> 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НП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  <w:highlight w:val="white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highlight w:val="white"/>
                      </w:rPr>
                      <m:rPr/>
                      <m:t>св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– сумма исчисленных страховых взносов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по перечню работодателей и их работников, осуществляющих трудовую деятельность в должности «помощник по уходу»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238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Информация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органов местного самоуправления, в ведении которых находятся комплексные центры социального обслуживания (по запросу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министерства труда и социального развития Новосибирской области)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Снижение расходов бюджета Новосибирской области на уплату взносов на неработающих граждан в связи с их трудоустройством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системы долговременного ухода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Сумма экономии расходов бюджета Новосибирс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кой области на уплату взносов за неработающих граждан, которые трудоустроены в рамках системы долговременного ухода в организации социального обслуживания Новосибирской области и иные организации, подведомственные</w:t>
              <w:br/>
              <w:t xml:space="preserve">министерству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5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center"/>
              <w:spacing w:before="0" w:after="0" w:line="240" w:lineRule="auto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Э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б</m:t>
                    </m:r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р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m:oMath>
              <m:nary>
                <m:naryPr>
                  <m:chr m:val="∑"/>
                  <m:grow m:val="off"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 w:themeColor="text1"/>
                    </w:rPr>
                    <m:rPr/>
                    <m:t>i</m:t>
                  </m:r>
                  <m:r>
                    <w:rPr>
                      <w:rFonts w:ascii="Cambria Math" w:hAnsi="Cambria Math"/>
                      <w:color w:val="000000" w:themeColor="text1"/>
                    </w:rPr>
                    <m:rPr/>
                    <m:t>=</m:t>
                  </m:r>
                  <m:r>
                    <w:rPr>
                      <w:rFonts w:ascii="Cambria Math" w:hAnsi="Cambria Math"/>
                      <w:color w:val="000000" w:themeColor="text1"/>
                    </w:rPr>
                    <m:rPr/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</w:rPr>
                    <m:rPr/>
                    <m:t>N</m:t>
                  </m:r>
                </m:sup>
                <m:e>
                  <m:r>
                    <w:rPr>
                      <w:rFonts w:ascii="Cambria Math" w:hAnsi="Cambria Math" w:eastAsia="Cambria Math" w:cs="Cambria Math"/>
                      <w:color w:val="000000" w:themeColor="text1"/>
                    </w:rPr>
                    <m:rPr/>
                    <m:t>(</m:t>
                  </m:r>
                  <m:f>
                    <m:fPr>
                      <m:ctrlPr>
                        <w:rPr>
                          <w:rFonts w:hint="default" w:ascii="Cambria Math" w:hAnsi="Cambria Math" w:eastAsia="Cambria Math" w:cs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hint="default" w:ascii="Cambria Math" w:hAnsi="Cambria Math" w:eastAsia="Cambria Math" w:cs="Cambria Math"/>
                          <w:color w:val="000000" w:themeColor="text1"/>
                        </w:rPr>
                        <m:rPr>
                          <m:sty m:val="i"/>
                        </m:rPr>
                        <m:t>m</m:t>
                      </m:r>
                      <m:r>
                        <w:rPr>
                          <w:rFonts w:ascii="Cambria Math" w:hAnsi="Cambria Math"/>
                          <w:color w:val="000000" w:themeColor="text1"/>
                        </w:rPr>
                        <m:rPr/>
                        <m:t>×T</m:t>
                      </m:r>
                    </m:num>
                    <m:den>
                      <m:r>
                        <w:rPr>
                          <w:rFonts w:hint="default" w:ascii="Cambria Math" w:hAnsi="Cambria Math" w:eastAsia="Cambria Math" w:cs="Cambria Math"/>
                          <w:color w:val="000000" w:themeColor="text1"/>
                        </w:rPr>
                        <m:rPr>
                          <m:sty m:val="i"/>
                        </m:rPr>
                        <m:t>12</m:t>
                      </m:r>
                    </m:den>
                  </m:f>
                </m:e>
              </m:nary>
            </m:oMath>
            <w:r>
              <w:rPr>
                <w:color w:val="000000" w:themeColor="text1"/>
              </w:rPr>
              <w:t xml:space="preserve">),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где m – количество месяцев, отработанных гражданами, трудоустроенными в рамках системы долговременного ухода, на новом рабочем месте в организации социального обслуживания Новосибирской области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 иные организации, подведомственные министерству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труда и социального развития Новосибирской области</w:t>
            </w:r>
            <w:r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 в течение отчетного периода;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Т – расходы бюджета Новосибирской области на обязательное медицинское страхование неработающего населения, рассчитанные в соответствии с законодательством Российской Федерации;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N – численность неработающих граждан, трудоустроенных в отчетном периоде в организации социального обслуживания Новосибирской области и иные организации, подведомственные министерству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труда и социального развития Новосибирской области, и осуществляющих трудовую деятельность в должности помощника по уходу, эксперта по оценке нуждаемости, организатора ухода, являющихся на начало отчетного периода застрахованными неработающими гражданами;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1...N – индексы суммирования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238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органов местного самоуправления, в ведении которых находятся комплексные центры социального обслуживания (по запросу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министерства труда и социального развития Новосибирской области),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государственных стационарных учреждений социального обслуживания (по запросу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министерства труда и социального развития Новосибирской области)</w:t>
            </w:r>
            <w:r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Снижение расходов бюджета Новосибирской области на создание новых мощностей стационарных организаций социального обслуживания и их содержание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Ожидаемые расходы бюджета Новосибирской области на создание новых мощностей стационарных организаций социального обслуживания и их содержание в случае, если система долговременного ухода не будет внедряться в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5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Рубль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</w:r>
            <m:oMath>
              <m:r>
                <w:rPr>
                  <w:rFonts w:ascii="Cambria Math" w:hAnsi="Cambria Math"/>
                  <w:color w:val="000000" w:themeColor="text1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к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hAnsi="Cambria Math"/>
                  <w:color w:val="000000" w:themeColor="text1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rPr/>
                <m:t>×</m:t>
              </m:r>
            </m:oMath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стр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+ С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сод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</w:r>
            <m:oMath>
              <m:r>
                <w:rPr>
                  <w:rFonts w:ascii="Cambria Math" w:hAnsi="Cambria Math"/>
                  <w:color w:val="000000" w:themeColor="text1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к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прирост ожидаемых расходов бюджета Новосибирской области на создание новых мощностей стационарных организаций социального обслуживания и их содержание;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где </w:t>
            </w:r>
            <m:oMath>
              <m:r>
                <w:rPr>
                  <w:rFonts w:ascii="Cambria Math" w:hAnsi="Cambria Math"/>
                  <w:color w:val="000000" w:themeColor="text1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 – изменение потребности в количестве койко-мест в стационарных организациях социального обслуживания с учетом системы долговременного ухода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стр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расходы на создание единицы мощности в стационарной организации социального обслуживания</w:t>
              <w:br/>
              <w:t xml:space="preserve">(1 койко-место), рассчитанные на основании нормативов цен строительства, утвержденных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сод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средние расходы на содержание одного койко-места в стационарной организации социального обслуживания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238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Государственная информационная система Новосибирской области «Территориальная информационная система «Социальный портрет гражданина и типизированное хранилище данных Новосибирской области»,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органов местного самоуправления, в ведении которых находятся комплексные центры социального обслуживания (по запросу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министерства труда и социального развития Новосибирской области)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государственных стационарных учреждений социального обслуживания (по запросу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министерства труда и социального развития Новосибирской области)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gridSpan w:val="6"/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15705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Дополнительный показатель эффективности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7087"/>
        </w:trPr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Рост коэффициента стабильности кадров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Доля помощников по уходу, организаторов ухода, экспертов по оценке нуждаемости, отработавших год и более, в общей численности работников, работающих на данных должностях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125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</w:r>
            <m:oMath>
              <m:r>
                <w:rPr>
                  <w:rFonts w:ascii="Cambria Math" w:hAnsi="Cambria Math"/>
                  <w:color w:val="000000" w:themeColor="text1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ст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= К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ст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К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ст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где К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ст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К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ст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коэффициент стабильности кадров в отчетном году и году, предшествующем отчетному, соответственно;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ст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rPr/>
                    <m:t>Ч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о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г</m:t>
                        </m:r>
                      </m:e>
                    </m:mr>
                  </m:m>
                </m:num>
                <m:den>
                  <m:sSup>
                    <m:sSupPr>
                      <m:ctrlPr>
                        <w:rPr>
                          <w:rFonts w:hint="default" w:ascii="Cambria Math" w:hAnsi="Cambria Math" w:eastAsia="Cambria Math" w:cs="Cambria Math"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rPr/>
                        <m:t>Ч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rPr/>
                        <m:t>о</m:t>
                      </m:r>
                    </m:sup>
                  </m:sSup>
                </m:den>
              </m:f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rPr/>
                <m:t>×</m:t>
              </m:r>
            </m:oMath>
            <w:r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100%,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где Ч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численность работников из числа помощников по уходу, организаторов ухода, экспертов по оценке нуждаемости, отработавших в указанной должности год и более, по состоянию на конец отчетного периода (в отчетном году);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42"/>
                <w:szCs w:val="42"/>
                <w:vertAlign w:val="superscript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– общая численность работников из числа помощников по уходу, организаторов ухода, экспертов по оценке нуждаемости в отчетном году;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ст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rPr/>
                    <m:t>Ч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п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rPr/>
                          <m:t>г</m:t>
                        </m:r>
                      </m:e>
                    </m:mr>
                  </m:m>
                </m:num>
                <m:den>
                  <m:sSup>
                    <m:sSupPr>
                      <m:ctrlPr>
                        <w:rPr>
                          <w:rFonts w:hint="default" w:ascii="Cambria Math" w:hAnsi="Cambria Math" w:eastAsia="Cambria Math" w:cs="Cambria Math"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rPr/>
                        <m:t>Ч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rPr/>
                        <m:t>п</m:t>
                      </m:r>
                    </m:sup>
                  </m:sSup>
                </m:den>
              </m:f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m:oMath>
              <m:r>
                <w:rPr>
                  <w:rFonts w:ascii="Cambria Math" w:hAnsi="Cambria Math"/>
                  <w:color w:val="000000" w:themeColor="text1"/>
                </w:rPr>
                <m:rPr/>
                <m:t>×</m:t>
              </m:r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100%</w:t>
            </w:r>
            <w:r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где Ч</w:t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численность работников из числа помощников по уходу, организаторов ухода, экспертов по оценке нуждаемости, отработавших в указанной должности год и более, по состоянию на конец периода, предшествующего отчетному;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72"/>
              <w:jc w:val="both"/>
              <w:spacing w:before="0" w:after="0" w:line="240" w:lineRule="auto"/>
              <w:tabs>
                <w:tab w:val="clear" w:pos="708" w:leader="none"/>
                <w:tab w:val="left" w:pos="3362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42"/>
                <w:szCs w:val="42"/>
                <w:vertAlign w:val="superscript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общая численность работников из числа помощников по уходу, организаторов ухода, экспертов по оценке нуждаемости в году, предшествующем отчетному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238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органов местного самоуправления, в ведении которых находятся комплексные центры социального обслуживания (по запросу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министерства труда и социального развития Новосибирской области)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672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– потребность в количестве  койко-мест определяется как доля от численности граждан, которые приняты на долговременный уход и которым установлен 3 уровень нуждаемости в уходе, с учетом среднего оборота койко-места в год и рассчитывается по формуле: </w:t>
      </w:r>
      <w:r>
        <w:rPr>
          <w:rFonts w:ascii="Times New Roman" w:hAnsi="Times New Roman" w:eastAsia="Palatino Linotype" w:cs="Times New Roman"/>
          <w:i/>
          <w:color w:val="000000" w:themeColor="text1"/>
          <w:sz w:val="24"/>
          <w:szCs w:val="24"/>
        </w:rPr>
        <w:t xml:space="preserve">К =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(0,35 х N</w:t>
      </w:r>
      <m:oMath>
        <m:m>
          <m:mPr>
            <m:baseJc m:val="center"/>
            <m:cGp/>
            <m:cGpRule/>
            <m:cSp/>
            <m:mcs>
              <m:mc>
                <m:mcPr>
                  <m:mcJc m:val="center"/>
                  <m:count m:val="1"/>
                </m:mcPr>
              </m:mc>
            </m:mcs>
            <m:plcHide m:val="off"/>
            <m:rSp/>
            <m:rSpRule/>
            <m:ctrlPr>
              <w:rPr>
                <w:rFonts w:hint="default" w:ascii="Cambria Math" w:hAnsi="Cambria Math" w:eastAsia="Cambria Math" w:cs="Cambria Math"/>
                <w:color w:val="000000" w:themeColor="text1"/>
              </w:rPr>
            </m:ctrlPr>
          </m:mPr>
          <m:mr>
            <m:e>
              <m:r>
                <w:rPr>
                  <w:rFonts w:ascii="Cambria Math" w:hAnsi="Cambria Math"/>
                  <w:color w:val="000000" w:themeColor="text1"/>
                </w:rPr>
                <m:rPr/>
                <m:t>3</m:t>
              </m:r>
            </m:e>
          </m:mr>
          <m:mr>
            <m:e>
              <m:r>
                <w:rPr>
                  <w:rFonts w:ascii="Cambria Math" w:hAnsi="Cambria Math"/>
                  <w:color w:val="000000" w:themeColor="text1"/>
                </w:rPr>
                <m:rPr/>
                <m:t>сду</m:t>
              </m:r>
            </m:e>
          </m:mr>
        </m:m>
      </m:oMath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)/K</w:t>
      </w:r>
      <m:oMath>
        <m:m>
          <m:mPr>
            <m:baseJc m:val="center"/>
            <m:cGp/>
            <m:cGpRule/>
            <m:cSp/>
            <m:mcs>
              <m:mc>
                <m:mcPr>
                  <m:mcJc m:val="center"/>
                  <m:count m:val="1"/>
                </m:mcPr>
              </m:mc>
            </m:mcs>
            <m:plcHide m:val="off"/>
            <m:rSp/>
            <m:rSpRule/>
            <m:ctrlPr>
              <w:rPr>
                <w:rFonts w:hint="default" w:ascii="Cambria Math" w:hAnsi="Cambria Math" w:eastAsia="Cambria Math" w:cs="Cambria Math"/>
                <w:color w:val="000000" w:themeColor="text1"/>
              </w:rPr>
            </m:ctrlPr>
          </m:mPr>
          <m:mr>
            <m:e>
              <m:r>
                <w:rPr>
                  <w:rFonts w:ascii="Cambria Math" w:hAnsi="Cambria Math"/>
                  <w:color w:val="000000" w:themeColor="text1"/>
                </w:rPr>
                <m:rPr/>
                <m:t>об</m:t>
              </m:r>
            </m:e>
          </m:mr>
        </m:m>
      </m:oMath>
      <w:r>
        <w:rPr>
          <w:rFonts w:ascii="Times New Roman" w:hAnsi="Times New Roman" w:eastAsia="Palatino Linotype" w:cs="Times New Roman"/>
          <w:i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где</w:t>
        <w:br/>
        <w:t xml:space="preserve">N</w:t>
      </w:r>
      <m:oMath>
        <m:m>
          <m:mPr>
            <m:baseJc m:val="center"/>
            <m:cGp/>
            <m:cGpRule/>
            <m:cSp/>
            <m:mcs>
              <m:mc>
                <m:mcPr>
                  <m:mcJc m:val="center"/>
                  <m:count m:val="1"/>
                </m:mcPr>
              </m:mc>
            </m:mcs>
            <m:plcHide m:val="off"/>
            <m:rSp/>
            <m:rSpRule/>
            <m:ctrlPr>
              <w:rPr>
                <w:rFonts w:hint="default" w:ascii="Cambria Math" w:hAnsi="Cambria Math" w:eastAsia="Cambria Math" w:cs="Cambria Math"/>
                <w:color w:val="000000" w:themeColor="text1"/>
              </w:rPr>
            </m:ctrlPr>
          </m:mPr>
          <m:mr>
            <m:e>
              <m:r>
                <w:rPr>
                  <w:rFonts w:ascii="Cambria Math" w:hAnsi="Cambria Math"/>
                  <w:color w:val="000000" w:themeColor="text1"/>
                </w:rPr>
                <m:rPr/>
                <m:t>3</m:t>
              </m:r>
            </m:e>
          </m:mr>
          <m:mr>
            <m:e>
              <m:r>
                <w:rPr>
                  <w:rFonts w:ascii="Cambria Math" w:hAnsi="Cambria Math"/>
                  <w:color w:val="000000" w:themeColor="text1"/>
                </w:rPr>
                <m:rPr/>
                <m:t>сду</m:t>
              </m:r>
            </m:e>
          </m:mr>
        </m:m>
      </m:oMath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– численность граждан, которые приняты на долговременный уход и которым установлен 3 уровень нуждаемости в уходе, K</w:t>
      </w:r>
      <m:oMath>
        <m:m>
          <m:mPr>
            <m:baseJc m:val="center"/>
            <m:cGp/>
            <m:cGpRule/>
            <m:cSp/>
            <m:mcs>
              <m:mc>
                <m:mcPr>
                  <m:mcJc m:val="center"/>
                  <m:count m:val="1"/>
                </m:mcPr>
              </m:mc>
            </m:mcs>
            <m:plcHide m:val="off"/>
            <m:rSp/>
            <m:rSpRule/>
            <m:ctrlPr>
              <w:rPr>
                <w:rFonts w:hint="default" w:ascii="Cambria Math" w:hAnsi="Cambria Math" w:eastAsia="Cambria Math" w:cs="Cambria Math"/>
                <w:color w:val="000000" w:themeColor="text1"/>
              </w:rPr>
            </m:ctrlPr>
          </m:mPr>
          <m:mr>
            <m:e>
              <m:r>
                <w:rPr>
                  <w:rFonts w:ascii="Cambria Math" w:hAnsi="Cambria Math"/>
                  <w:color w:val="000000" w:themeColor="text1"/>
                </w:rPr>
                <m:rPr/>
                <m:t>об</m:t>
              </m:r>
            </m:e>
          </m:mr>
        </m:m>
      </m:oMath>
      <w:r>
        <w:rPr>
          <w:rFonts w:ascii="Times New Roman" w:hAnsi="Times New Roman" w:eastAsia="Palatino Linotype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– средний коэффициент оборота койко-места (в год).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672"/>
        <w:jc w:val="center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72"/>
        <w:jc w:val="left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72"/>
        <w:jc w:val="center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headerReference w:type="default" r:id="rId8"/>
      <w:footnotePr/>
      <w:endnotePr/>
      <w:type w:val="nextPage"/>
      <w:pgSz w:w="16838" w:h="11906" w:orient="landscape"/>
      <w:pgMar w:top="1134" w:right="567" w:bottom="567" w:left="567" w:header="68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405020303"/>
  </w:font>
  <w:font w:name="Cambria Math">
    <w:panose1 w:val="02000603000000000000"/>
  </w:font>
  <w:font w:name="Times New Roman">
    <w:panose1 w:val="020206030504050203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 xml:space="preserve">12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9">
    <w:name w:val="Hyperlink"/>
    <w:uiPriority w:val="99"/>
    <w:unhideWhenUsed/>
    <w:rPr>
      <w:color w:val="0000ff" w:themeColor="hyperlink"/>
      <w:u w:val="single"/>
    </w:rPr>
  </w:style>
  <w:style w:type="character" w:styleId="670">
    <w:name w:val="footnote reference"/>
    <w:basedOn w:val="697"/>
    <w:uiPriority w:val="99"/>
    <w:unhideWhenUsed/>
    <w:rPr>
      <w:vertAlign w:val="superscript"/>
    </w:rPr>
  </w:style>
  <w:style w:type="character" w:styleId="671">
    <w:name w:val="endnote reference"/>
    <w:basedOn w:val="697"/>
    <w:uiPriority w:val="99"/>
    <w:semiHidden/>
    <w:unhideWhenUsed/>
    <w:rPr>
      <w:vertAlign w:val="superscript"/>
    </w:rPr>
  </w:style>
  <w:style w:type="paragraph" w:styleId="672" w:default="1">
    <w:name w:val="Normal"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73">
    <w:name w:val="Heading 1"/>
    <w:basedOn w:val="672"/>
    <w:next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4">
    <w:name w:val="Heading 2"/>
    <w:basedOn w:val="672"/>
    <w:next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5">
    <w:name w:val="Heading 3"/>
    <w:basedOn w:val="672"/>
    <w:next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6">
    <w:name w:val="Heading 4"/>
    <w:basedOn w:val="672"/>
    <w:next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672"/>
    <w:next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672"/>
    <w:next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9">
    <w:name w:val="Heading 7"/>
    <w:basedOn w:val="672"/>
    <w:next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0">
    <w:name w:val="Heading 8"/>
    <w:basedOn w:val="672"/>
    <w:next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1">
    <w:name w:val="Heading 9"/>
    <w:basedOn w:val="672"/>
    <w:next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1 Char"/>
    <w:basedOn w:val="697"/>
    <w:uiPriority w:val="9"/>
    <w:qFormat/>
    <w:rPr>
      <w:rFonts w:ascii="Arial" w:hAnsi="Arial" w:eastAsia="Arial" w:cs="Arial"/>
      <w:sz w:val="40"/>
      <w:szCs w:val="40"/>
    </w:rPr>
  </w:style>
  <w:style w:type="character" w:styleId="683">
    <w:name w:val="Heading 2 Char"/>
    <w:basedOn w:val="697"/>
    <w:uiPriority w:val="9"/>
    <w:qFormat/>
    <w:rPr>
      <w:rFonts w:ascii="Arial" w:hAnsi="Arial" w:eastAsia="Arial" w:cs="Arial"/>
      <w:sz w:val="34"/>
    </w:rPr>
  </w:style>
  <w:style w:type="character" w:styleId="684">
    <w:name w:val="Heading 3 Char"/>
    <w:basedOn w:val="697"/>
    <w:uiPriority w:val="9"/>
    <w:qFormat/>
    <w:rPr>
      <w:rFonts w:ascii="Arial" w:hAnsi="Arial" w:eastAsia="Arial" w:cs="Arial"/>
      <w:sz w:val="30"/>
      <w:szCs w:val="30"/>
    </w:rPr>
  </w:style>
  <w:style w:type="character" w:styleId="685">
    <w:name w:val="Heading 4 Char"/>
    <w:basedOn w:val="69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6">
    <w:name w:val="Heading 5 Char"/>
    <w:basedOn w:val="69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7">
    <w:name w:val="Heading 6 Char"/>
    <w:basedOn w:val="69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8">
    <w:name w:val="Heading 7 Char"/>
    <w:basedOn w:val="69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8 Char"/>
    <w:basedOn w:val="69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0">
    <w:name w:val="Heading 9 Char"/>
    <w:basedOn w:val="69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1">
    <w:name w:val="Title Char"/>
    <w:basedOn w:val="697"/>
    <w:uiPriority w:val="10"/>
    <w:qFormat/>
    <w:rPr>
      <w:sz w:val="48"/>
      <w:szCs w:val="48"/>
    </w:rPr>
  </w:style>
  <w:style w:type="character" w:styleId="692">
    <w:name w:val="Subtitle Char"/>
    <w:basedOn w:val="697"/>
    <w:uiPriority w:val="11"/>
    <w:qFormat/>
    <w:rPr>
      <w:sz w:val="24"/>
      <w:szCs w:val="24"/>
    </w:rPr>
  </w:style>
  <w:style w:type="character" w:styleId="693">
    <w:name w:val="Quote Char"/>
    <w:uiPriority w:val="29"/>
    <w:qFormat/>
    <w:rPr>
      <w:i/>
    </w:rPr>
  </w:style>
  <w:style w:type="character" w:styleId="694">
    <w:name w:val="Intense Quote Char"/>
    <w:uiPriority w:val="30"/>
    <w:qFormat/>
    <w:rPr>
      <w:i/>
    </w:rPr>
  </w:style>
  <w:style w:type="character" w:styleId="695">
    <w:name w:val="Footnote Text Char"/>
    <w:uiPriority w:val="99"/>
    <w:qFormat/>
    <w:rPr>
      <w:sz w:val="18"/>
    </w:rPr>
  </w:style>
  <w:style w:type="character" w:styleId="696">
    <w:name w:val="Endnote Text Char"/>
    <w:uiPriority w:val="99"/>
    <w:qFormat/>
    <w:rPr>
      <w:sz w:val="20"/>
    </w:rPr>
  </w:style>
  <w:style w:type="character" w:styleId="697" w:default="1">
    <w:name w:val="Default Paragraph Font"/>
    <w:uiPriority w:val="1"/>
    <w:semiHidden/>
    <w:unhideWhenUsed/>
    <w:qFormat/>
  </w:style>
  <w:style w:type="character" w:styleId="698" w:customStyle="1">
    <w:name w:val="Заголовок 1 Знак"/>
    <w:basedOn w:val="697"/>
    <w:uiPriority w:val="9"/>
    <w:qFormat/>
    <w:rPr>
      <w:rFonts w:ascii="Arial" w:hAnsi="Arial" w:eastAsia="Arial" w:cs="Arial"/>
      <w:sz w:val="40"/>
      <w:szCs w:val="40"/>
    </w:rPr>
  </w:style>
  <w:style w:type="character" w:styleId="699" w:customStyle="1">
    <w:name w:val="Заголовок 2 Знак"/>
    <w:basedOn w:val="697"/>
    <w:uiPriority w:val="9"/>
    <w:qFormat/>
    <w:rPr>
      <w:rFonts w:ascii="Arial" w:hAnsi="Arial" w:eastAsia="Arial" w:cs="Arial"/>
      <w:sz w:val="34"/>
    </w:rPr>
  </w:style>
  <w:style w:type="character" w:styleId="700" w:customStyle="1">
    <w:name w:val="Заголовок 3 Знак"/>
    <w:basedOn w:val="697"/>
    <w:uiPriority w:val="9"/>
    <w:qFormat/>
    <w:rPr>
      <w:rFonts w:ascii="Arial" w:hAnsi="Arial" w:eastAsia="Arial" w:cs="Arial"/>
      <w:sz w:val="30"/>
      <w:szCs w:val="30"/>
    </w:rPr>
  </w:style>
  <w:style w:type="character" w:styleId="701" w:customStyle="1">
    <w:name w:val="Заголовок 4 Знак"/>
    <w:basedOn w:val="69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Заголовок 5 Знак"/>
    <w:basedOn w:val="69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Заголовок 6 Знак"/>
    <w:basedOn w:val="69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Заголовок 7 Знак"/>
    <w:basedOn w:val="69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Заголовок 8 Знак"/>
    <w:basedOn w:val="69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Заголовок 9 Знак"/>
    <w:basedOn w:val="69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7" w:customStyle="1">
    <w:name w:val="Заголовок Знак"/>
    <w:basedOn w:val="697"/>
    <w:uiPriority w:val="10"/>
    <w:qFormat/>
    <w:rPr>
      <w:sz w:val="48"/>
      <w:szCs w:val="48"/>
    </w:rPr>
  </w:style>
  <w:style w:type="character" w:styleId="708" w:customStyle="1">
    <w:name w:val="Подзаголовок Знак"/>
    <w:basedOn w:val="697"/>
    <w:uiPriority w:val="11"/>
    <w:qFormat/>
    <w:rPr>
      <w:sz w:val="24"/>
      <w:szCs w:val="24"/>
    </w:rPr>
  </w:style>
  <w:style w:type="character" w:styleId="709" w:customStyle="1">
    <w:name w:val="Цитата 2 Знак"/>
    <w:uiPriority w:val="29"/>
    <w:qFormat/>
    <w:rPr>
      <w:i/>
    </w:rPr>
  </w:style>
  <w:style w:type="character" w:styleId="710" w:customStyle="1">
    <w:name w:val="Выделенная цитата Знак"/>
    <w:uiPriority w:val="30"/>
    <w:qFormat/>
    <w:rPr>
      <w:i/>
    </w:rPr>
  </w:style>
  <w:style w:type="character" w:styleId="711" w:customStyle="1">
    <w:name w:val="Header Char"/>
    <w:basedOn w:val="697"/>
    <w:uiPriority w:val="99"/>
    <w:qFormat/>
  </w:style>
  <w:style w:type="character" w:styleId="712" w:customStyle="1">
    <w:name w:val="Footer Char"/>
    <w:basedOn w:val="697"/>
    <w:uiPriority w:val="99"/>
    <w:qFormat/>
  </w:style>
  <w:style w:type="character" w:styleId="713" w:customStyle="1">
    <w:name w:val="Caption Char"/>
    <w:uiPriority w:val="99"/>
    <w:qFormat/>
  </w:style>
  <w:style w:type="character" w:styleId="714">
    <w:name w:val="Интернет-ссылка"/>
    <w:uiPriority w:val="99"/>
    <w:unhideWhenUsed/>
    <w:rPr>
      <w:color w:val="0563c1" w:themeColor="hyperlink"/>
      <w:u w:val="single"/>
    </w:rPr>
  </w:style>
  <w:style w:type="character" w:styleId="715" w:customStyle="1">
    <w:name w:val="Текст сноски Знак"/>
    <w:uiPriority w:val="99"/>
    <w:qFormat/>
    <w:rPr>
      <w:sz w:val="18"/>
    </w:rPr>
  </w:style>
  <w:style w:type="character" w:styleId="716">
    <w:name w:val="Привязка сноски"/>
    <w:rPr>
      <w:vertAlign w:val="superscript"/>
    </w:rPr>
  </w:style>
  <w:style w:type="character" w:styleId="717">
    <w:name w:val="Footnote Characters"/>
    <w:basedOn w:val="697"/>
    <w:uiPriority w:val="99"/>
    <w:unhideWhenUsed/>
    <w:qFormat/>
    <w:rPr>
      <w:vertAlign w:val="superscript"/>
    </w:rPr>
  </w:style>
  <w:style w:type="character" w:styleId="718" w:customStyle="1">
    <w:name w:val="Текст концевой сноски Знак"/>
    <w:uiPriority w:val="99"/>
    <w:qFormat/>
    <w:rPr>
      <w:sz w:val="20"/>
    </w:rPr>
  </w:style>
  <w:style w:type="character" w:styleId="719">
    <w:name w:val="Привязка концевой сноски"/>
    <w:rPr>
      <w:vertAlign w:val="superscript"/>
    </w:rPr>
  </w:style>
  <w:style w:type="character" w:styleId="720">
    <w:name w:val="Endnote Characters"/>
    <w:basedOn w:val="697"/>
    <w:uiPriority w:val="99"/>
    <w:semiHidden/>
    <w:unhideWhenUsed/>
    <w:qFormat/>
    <w:rPr>
      <w:vertAlign w:val="superscript"/>
    </w:rPr>
  </w:style>
  <w:style w:type="character" w:styleId="721" w:customStyle="1">
    <w:name w:val="Текст выноски Знак"/>
    <w:basedOn w:val="697"/>
    <w:uiPriority w:val="99"/>
    <w:semiHidden/>
    <w:qFormat/>
    <w:rPr>
      <w:rFonts w:ascii="Segoe UI" w:hAnsi="Segoe UI" w:cs="Segoe UI"/>
      <w:sz w:val="18"/>
      <w:szCs w:val="18"/>
    </w:rPr>
  </w:style>
  <w:style w:type="character" w:styleId="722">
    <w:name w:val="annotation reference"/>
    <w:basedOn w:val="697"/>
    <w:uiPriority w:val="99"/>
    <w:semiHidden/>
    <w:unhideWhenUsed/>
    <w:qFormat/>
    <w:rPr>
      <w:sz w:val="16"/>
      <w:szCs w:val="16"/>
    </w:rPr>
  </w:style>
  <w:style w:type="character" w:styleId="723" w:customStyle="1">
    <w:name w:val="Текст примечания Знак"/>
    <w:basedOn w:val="697"/>
    <w:uiPriority w:val="99"/>
    <w:semiHidden/>
    <w:qFormat/>
    <w:rPr>
      <w:sz w:val="20"/>
      <w:szCs w:val="20"/>
    </w:rPr>
  </w:style>
  <w:style w:type="character" w:styleId="724" w:customStyle="1">
    <w:name w:val="Тема примечания Знак"/>
    <w:basedOn w:val="723"/>
    <w:uiPriority w:val="99"/>
    <w:semiHidden/>
    <w:qFormat/>
    <w:rPr>
      <w:b/>
      <w:bCs/>
      <w:sz w:val="20"/>
      <w:szCs w:val="20"/>
    </w:rPr>
  </w:style>
  <w:style w:type="character" w:styleId="725" w:customStyle="1">
    <w:name w:val="Верхний колонтитул Знак"/>
    <w:basedOn w:val="697"/>
    <w:uiPriority w:val="99"/>
    <w:qFormat/>
  </w:style>
  <w:style w:type="character" w:styleId="726" w:customStyle="1">
    <w:name w:val="Нижний колонтитул Знак"/>
    <w:basedOn w:val="697"/>
    <w:uiPriority w:val="99"/>
    <w:qFormat/>
  </w:style>
  <w:style w:type="paragraph" w:styleId="727">
    <w:name w:val="Заголовок"/>
    <w:basedOn w:val="672"/>
    <w:next w:val="728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28">
    <w:name w:val="Body Text"/>
    <w:basedOn w:val="672"/>
    <w:pPr>
      <w:spacing w:before="0" w:after="140" w:line="276" w:lineRule="auto"/>
    </w:pPr>
  </w:style>
  <w:style w:type="paragraph" w:styleId="729">
    <w:name w:val="List"/>
    <w:basedOn w:val="728"/>
    <w:rPr>
      <w:rFonts w:cs="Droid Sans Devanagari"/>
    </w:rPr>
  </w:style>
  <w:style w:type="paragraph" w:styleId="730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731">
    <w:name w:val="Указатель"/>
    <w:basedOn w:val="672"/>
    <w:qFormat/>
    <w:pPr>
      <w:suppressLineNumbers/>
    </w:pPr>
    <w:rPr>
      <w:rFonts w:cs="Droid Sans Devanagari"/>
    </w:rPr>
  </w:style>
  <w:style w:type="paragraph" w:styleId="732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33">
    <w:name w:val="Title"/>
    <w:basedOn w:val="672"/>
    <w:next w:val="67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34">
    <w:name w:val="Subtitle"/>
    <w:basedOn w:val="672"/>
    <w:next w:val="672"/>
    <w:uiPriority w:val="11"/>
    <w:qFormat/>
    <w:pPr>
      <w:spacing w:before="200" w:after="200"/>
    </w:pPr>
    <w:rPr>
      <w:sz w:val="24"/>
      <w:szCs w:val="24"/>
    </w:rPr>
  </w:style>
  <w:style w:type="paragraph" w:styleId="735">
    <w:name w:val="Quote"/>
    <w:basedOn w:val="672"/>
    <w:next w:val="672"/>
    <w:uiPriority w:val="29"/>
    <w:qFormat/>
    <w:pPr>
      <w:ind w:left="720" w:right="720" w:firstLine="0"/>
    </w:pPr>
    <w:rPr>
      <w:i/>
    </w:rPr>
  </w:style>
  <w:style w:type="paragraph" w:styleId="736">
    <w:name w:val="Intense Quote"/>
    <w:basedOn w:val="672"/>
    <w:next w:val="672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7">
    <w:name w:val="footnote text"/>
    <w:basedOn w:val="67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38">
    <w:name w:val="endnote text"/>
    <w:basedOn w:val="67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39">
    <w:name w:val="toc 1"/>
    <w:basedOn w:val="672"/>
    <w:next w:val="672"/>
    <w:uiPriority w:val="39"/>
    <w:unhideWhenUsed/>
    <w:pPr>
      <w:spacing w:before="0" w:after="57"/>
    </w:pPr>
  </w:style>
  <w:style w:type="paragraph" w:styleId="740">
    <w:name w:val="toc 2"/>
    <w:basedOn w:val="672"/>
    <w:next w:val="672"/>
    <w:uiPriority w:val="39"/>
    <w:unhideWhenUsed/>
    <w:pPr>
      <w:ind w:left="283" w:firstLine="0"/>
      <w:spacing w:before="0" w:after="57"/>
    </w:pPr>
  </w:style>
  <w:style w:type="paragraph" w:styleId="741">
    <w:name w:val="toc 3"/>
    <w:basedOn w:val="672"/>
    <w:next w:val="672"/>
    <w:uiPriority w:val="39"/>
    <w:unhideWhenUsed/>
    <w:pPr>
      <w:ind w:left="567" w:firstLine="0"/>
      <w:spacing w:before="0" w:after="57"/>
    </w:pPr>
  </w:style>
  <w:style w:type="paragraph" w:styleId="742">
    <w:name w:val="toc 4"/>
    <w:basedOn w:val="672"/>
    <w:next w:val="672"/>
    <w:uiPriority w:val="39"/>
    <w:unhideWhenUsed/>
    <w:pPr>
      <w:ind w:left="850" w:firstLine="0"/>
      <w:spacing w:before="0" w:after="57"/>
    </w:pPr>
  </w:style>
  <w:style w:type="paragraph" w:styleId="743">
    <w:name w:val="toc 5"/>
    <w:basedOn w:val="672"/>
    <w:next w:val="672"/>
    <w:uiPriority w:val="39"/>
    <w:unhideWhenUsed/>
    <w:pPr>
      <w:ind w:left="1134" w:firstLine="0"/>
      <w:spacing w:before="0" w:after="57"/>
    </w:pPr>
  </w:style>
  <w:style w:type="paragraph" w:styleId="744">
    <w:name w:val="toc 6"/>
    <w:basedOn w:val="672"/>
    <w:next w:val="672"/>
    <w:uiPriority w:val="39"/>
    <w:unhideWhenUsed/>
    <w:pPr>
      <w:ind w:left="1417" w:firstLine="0"/>
      <w:spacing w:before="0" w:after="57"/>
    </w:pPr>
  </w:style>
  <w:style w:type="paragraph" w:styleId="745">
    <w:name w:val="toc 7"/>
    <w:basedOn w:val="672"/>
    <w:next w:val="672"/>
    <w:uiPriority w:val="39"/>
    <w:unhideWhenUsed/>
    <w:pPr>
      <w:ind w:left="1701" w:firstLine="0"/>
      <w:spacing w:before="0" w:after="57"/>
    </w:pPr>
  </w:style>
  <w:style w:type="paragraph" w:styleId="746">
    <w:name w:val="toc 8"/>
    <w:basedOn w:val="672"/>
    <w:next w:val="672"/>
    <w:uiPriority w:val="39"/>
    <w:unhideWhenUsed/>
    <w:pPr>
      <w:ind w:left="1984" w:firstLine="0"/>
      <w:spacing w:before="0" w:after="57"/>
    </w:pPr>
  </w:style>
  <w:style w:type="paragraph" w:styleId="747">
    <w:name w:val="toc 9"/>
    <w:basedOn w:val="672"/>
    <w:next w:val="672"/>
    <w:uiPriority w:val="39"/>
    <w:unhideWhenUsed/>
    <w:pPr>
      <w:ind w:left="2268" w:firstLine="0"/>
      <w:spacing w:before="0" w:after="57"/>
    </w:pPr>
  </w:style>
  <w:style w:type="paragraph" w:styleId="748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49">
    <w:name w:val="table of figures"/>
    <w:basedOn w:val="672"/>
    <w:next w:val="672"/>
    <w:uiPriority w:val="99"/>
    <w:unhideWhenUsed/>
    <w:qFormat/>
    <w:pPr>
      <w:spacing w:before="0" w:after="0"/>
    </w:pPr>
  </w:style>
  <w:style w:type="paragraph" w:styleId="750">
    <w:name w:val="List Paragraph"/>
    <w:basedOn w:val="672"/>
    <w:uiPriority w:val="34"/>
    <w:qFormat/>
    <w:pPr>
      <w:contextualSpacing/>
      <w:ind w:left="720" w:firstLine="0"/>
      <w:spacing w:before="0" w:after="160"/>
    </w:pPr>
  </w:style>
  <w:style w:type="paragraph" w:styleId="751">
    <w:name w:val="Balloon Text"/>
    <w:basedOn w:val="672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52" w:customStyle="1">
    <w:name w:val="ConsPlusNormal"/>
    <w:qFormat/>
    <w:pPr>
      <w:jc w:val="left"/>
      <w:spacing w:before="0" w:beforeAutospacing="0" w:after="0" w:afterAutospacing="0" w:line="240" w:lineRule="auto"/>
      <w:widowControl w:val="off"/>
    </w:pPr>
    <w:rPr>
      <w:rFonts w:ascii="Calibri" w:hAnsi="Calibri" w:eastAsia="Arial" w:cs="Calibri" w:eastAsiaTheme="minorEastAsia"/>
      <w:color w:val="auto"/>
      <w:sz w:val="22"/>
      <w:szCs w:val="22"/>
      <w:lang w:val="ru-RU" w:eastAsia="ru-RU" w:bidi="ar-SA"/>
    </w:rPr>
  </w:style>
  <w:style w:type="paragraph" w:styleId="753">
    <w:name w:val="annotation text"/>
    <w:basedOn w:val="672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754">
    <w:name w:val="annotation subject"/>
    <w:basedOn w:val="753"/>
    <w:next w:val="753"/>
    <w:uiPriority w:val="99"/>
    <w:semiHidden/>
    <w:unhideWhenUsed/>
    <w:qFormat/>
    <w:rPr>
      <w:b/>
      <w:bCs/>
    </w:rPr>
  </w:style>
  <w:style w:type="paragraph" w:styleId="755">
    <w:name w:val="Верхний и нижний колонтитулы"/>
    <w:basedOn w:val="672"/>
    <w:qFormat/>
  </w:style>
  <w:style w:type="paragraph" w:styleId="756">
    <w:name w:val="Header"/>
    <w:basedOn w:val="672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57">
    <w:name w:val="Footer"/>
    <w:basedOn w:val="672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numbering" w:styleId="758" w:default="1">
    <w:name w:val="No List"/>
    <w:uiPriority w:val="99"/>
    <w:semiHidden/>
    <w:unhideWhenUsed/>
    <w:qFormat/>
  </w:style>
  <w:style w:type="table" w:styleId="7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Table Grid"/>
    <w:basedOn w:val="75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1" w:customStyle="1">
    <w:name w:val="Table Grid Light"/>
    <w:basedOn w:val="75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2">
    <w:name w:val="Plain Table 1"/>
    <w:basedOn w:val="75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3">
    <w:name w:val="Plain Table 2"/>
    <w:basedOn w:val="75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4">
    <w:name w:val="Plain Table 3"/>
    <w:basedOn w:val="7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basedOn w:val="7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basedOn w:val="7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basedOn w:val="75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basedOn w:val="75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eebf6" w:fill="deebf6" w:themeFill="accent1" w:themeFillTint="32"/>
      </w:tcPr>
    </w:tblStylePr>
    <w:tblStylePr w:type="band1Vert">
      <w:rPr>
        <w:color w:val="404040"/>
        <w:sz w:val="22"/>
      </w:rPr>
      <w:tcPr>
        <w:shd w:val="clear" w:color="deebf6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68a2d8" w:fill="68a2d8" w:themeFill="accent1" w:themeFillTint="EA"/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sz="4" w:space="0"/>
        </w:tcBorders>
      </w:tcPr>
    </w:tblStylePr>
  </w:style>
  <w:style w:type="table" w:styleId="790" w:customStyle="1">
    <w:name w:val="Grid Table 4 - Accent 2"/>
    <w:basedOn w:val="75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sz="4" w:space="0"/>
        </w:tcBorders>
      </w:tcPr>
    </w:tblStylePr>
  </w:style>
  <w:style w:type="table" w:styleId="791" w:customStyle="1">
    <w:name w:val="Grid Table 4 - Accent 3"/>
    <w:basedOn w:val="75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</w:tcBorders>
      </w:tcPr>
    </w:tblStylePr>
  </w:style>
  <w:style w:type="table" w:styleId="792" w:customStyle="1">
    <w:name w:val="Grid Table 4 - Accent 4"/>
    <w:basedOn w:val="75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sz="4" w:space="0"/>
        </w:tcBorders>
      </w:tcPr>
    </w:tblStylePr>
  </w:style>
  <w:style w:type="table" w:styleId="793" w:customStyle="1">
    <w:name w:val="Grid Table 4 - Accent 5"/>
    <w:basedOn w:val="75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4" w:customStyle="1">
    <w:name w:val="Grid Table 4 - Accent 6"/>
    <w:basedOn w:val="75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5">
    <w:name w:val="Grid Table 5 Dark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5b9bd5" w:fill="5b9bd5" w:themeFill="accent1"/>
      </w:tc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color w:val="ffffff"/>
        <w:sz w:val="22"/>
      </w:rPr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color w:val="ffffff"/>
        <w:sz w:val="22"/>
      </w:rPr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472c4" w:fill="4472c4" w:themeFill="accent5"/>
      </w:tcPr>
    </w:tblStylePr>
    <w:tblStylePr w:type="firstRow">
      <w:rPr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802">
    <w:name w:val="Grid Table 6 Colorful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4" w:customStyle="1">
    <w:name w:val="Grid Table 6 Colorful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5" w:customStyle="1">
    <w:name w:val="Grid Table 6 Colorful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6" w:customStyle="1">
    <w:name w:val="Grid Table 6 Colorful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7" w:customStyle="1">
    <w:name w:val="Grid Table 6 Colorful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 w:customStyle="1">
    <w:name w:val="Grid Table 6 Colorful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9">
    <w:name w:val="Grid Table 7 Colorful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basedOn w:val="7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basedOn w:val="7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basedOn w:val="7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basedOn w:val="7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basedOn w:val="7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basedOn w:val="7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basedOn w:val="7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830">
    <w:name w:val="List Table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9c9c9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da9db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9d08e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5" w:customStyle="1">
    <w:name w:val="List Table 5 Dark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6" w:customStyle="1">
    <w:name w:val="List Table 5 Dark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F4B184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7" w:customStyle="1">
    <w:name w:val="List Table 5 Dark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C9C9C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8" w:customStyle="1">
    <w:name w:val="List Table 5 Dark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D865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9" w:customStyle="1">
    <w:name w:val="List Table 5 Dark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8da9db" w:fill="8da9db" w:themeFill="accent5" w:themeFillTint="9A"/>
        <w:tcBorders>
          <w:top w:val="single" w:color="8DA9DB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0" w:customStyle="1">
    <w:name w:val="List Table 5 Dark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A9D08E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1">
    <w:name w:val="List Table 6 Colorful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52" w:customStyle="1">
    <w:name w:val="List Table 6 Colorful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3" w:customStyle="1">
    <w:name w:val="List Table 6 Colorful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sz="4" w:space="0"/>
        </w:tcBorders>
      </w:tcPr>
    </w:tblStylePr>
  </w:style>
  <w:style w:type="table" w:styleId="854" w:customStyle="1">
    <w:name w:val="List Table 6 Colorful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sz="4" w:space="0"/>
        </w:tcBorders>
      </w:tcPr>
    </w:tblStylePr>
  </w:style>
  <w:style w:type="table" w:styleId="855" w:customStyle="1">
    <w:name w:val="List Table 6 Colorful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sz="4" w:space="0"/>
        </w:tcBorders>
      </w:tcPr>
    </w:tblStylePr>
  </w:style>
  <w:style w:type="table" w:styleId="856" w:customStyle="1">
    <w:name w:val="List Table 6 Colorful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sz="4" w:space="0"/>
        </w:tcBorders>
      </w:tcPr>
    </w:tblStylePr>
  </w:style>
  <w:style w:type="table" w:styleId="857" w:customStyle="1">
    <w:name w:val="List Table 6 Colorful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sz="4" w:space="0"/>
        </w:tcBorders>
      </w:tcPr>
    </w:tblStylePr>
  </w:style>
  <w:style w:type="table" w:styleId="858">
    <w:name w:val="List Table 7 Colorful"/>
    <w:basedOn w:val="75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ned - Accent"/>
    <w:basedOn w:val="7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66" w:customStyle="1">
    <w:name w:val="Lined - Accent 1"/>
    <w:basedOn w:val="7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cPr>
        <w:shd w:val="clear" w:color="68a2d8" w:fill="68a2d8" w:themeFill="accent1" w:themeFillTint="EA"/>
      </w:tcPr>
    </w:tblStylePr>
  </w:style>
  <w:style w:type="table" w:styleId="867" w:customStyle="1">
    <w:name w:val="Lined - Accent 2"/>
    <w:basedOn w:val="7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68" w:customStyle="1">
    <w:name w:val="Lined - Accent 3"/>
    <w:basedOn w:val="7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69" w:customStyle="1">
    <w:name w:val="Lined - Accent 4"/>
    <w:basedOn w:val="7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70" w:customStyle="1">
    <w:name w:val="Lined - Accent 5"/>
    <w:basedOn w:val="7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cPr>
        <w:shd w:val="clear" w:color="4472c4" w:fill="4472c4" w:themeFill="accent5"/>
      </w:tcPr>
    </w:tblStylePr>
    <w:tblStylePr w:type="firstRow">
      <w:rPr>
        <w:color w:val="f2f2f2"/>
        <w:sz w:val="22"/>
      </w:rPr>
      <w:tcPr>
        <w:shd w:val="clear" w:color="4472c4" w:fill="4472c4" w:themeFill="accent5"/>
      </w:tcPr>
    </w:tblStylePr>
    <w:tblStylePr w:type="lastCol">
      <w:rPr>
        <w:color w:val="f2f2f2"/>
        <w:sz w:val="22"/>
      </w:rPr>
      <w:tcPr>
        <w:shd w:val="clear" w:color="4472c4" w:fill="4472c4" w:themeFill="accent5"/>
      </w:tcPr>
    </w:tblStylePr>
    <w:tblStylePr w:type="lastRow">
      <w:rPr>
        <w:color w:val="f2f2f2"/>
        <w:sz w:val="22"/>
      </w:rPr>
      <w:tcPr>
        <w:shd w:val="clear" w:color="4472c4" w:fill="4472c4" w:themeFill="accent5"/>
      </w:tcPr>
    </w:tblStylePr>
  </w:style>
  <w:style w:type="table" w:styleId="871" w:customStyle="1">
    <w:name w:val="Lined - Accent 6"/>
    <w:basedOn w:val="7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72" w:customStyle="1">
    <w:name w:val="Bordered &amp; Lined - Accent"/>
    <w:basedOn w:val="7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73" w:customStyle="1">
    <w:name w:val="Bordered &amp; Lined - Accent 1"/>
    <w:basedOn w:val="7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cPr>
        <w:shd w:val="clear" w:color="68a2d8" w:fill="68a2d8" w:themeFill="accent1" w:themeFillTint="EA"/>
      </w:tcPr>
    </w:tblStylePr>
  </w:style>
  <w:style w:type="table" w:styleId="874" w:customStyle="1">
    <w:name w:val="Bordered &amp; Lined - Accent 2"/>
    <w:basedOn w:val="7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75" w:customStyle="1">
    <w:name w:val="Bordered &amp; Lined - Accent 3"/>
    <w:basedOn w:val="7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76" w:customStyle="1">
    <w:name w:val="Bordered &amp; Lined - Accent 4"/>
    <w:basedOn w:val="7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77" w:customStyle="1">
    <w:name w:val="Bordered &amp; Lined - Accent 5"/>
    <w:basedOn w:val="7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cPr>
        <w:shd w:val="clear" w:color="4472c4" w:fill="4472c4" w:themeFill="accent5"/>
      </w:tcPr>
    </w:tblStylePr>
    <w:tblStylePr w:type="firstRow">
      <w:rPr>
        <w:color w:val="f2f2f2"/>
        <w:sz w:val="22"/>
      </w:rPr>
      <w:tcPr>
        <w:shd w:val="clear" w:color="4472c4" w:fill="4472c4" w:themeFill="accent5"/>
      </w:tcPr>
    </w:tblStylePr>
    <w:tblStylePr w:type="lastCol">
      <w:rPr>
        <w:color w:val="f2f2f2"/>
        <w:sz w:val="22"/>
      </w:rPr>
      <w:tcPr>
        <w:shd w:val="clear" w:color="4472c4" w:fill="4472c4" w:themeFill="accent5"/>
      </w:tcPr>
    </w:tblStylePr>
    <w:tblStylePr w:type="lastRow">
      <w:rPr>
        <w:color w:val="f2f2f2"/>
        <w:sz w:val="22"/>
      </w:rPr>
      <w:tcPr>
        <w:shd w:val="clear" w:color="4472c4" w:fill="4472c4" w:themeFill="accent5"/>
      </w:tcPr>
    </w:tblStylePr>
  </w:style>
  <w:style w:type="table" w:styleId="878" w:customStyle="1">
    <w:name w:val="Bordered &amp; Lined - Accent 6"/>
    <w:basedOn w:val="7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79" w:customStyle="1">
    <w:name w:val="Bordered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80" w:customStyle="1">
    <w:name w:val="Bordered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1" w:customStyle="1">
    <w:name w:val="Bordered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4B184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4B184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4B184" w:themeColor="accent2" w:sz="12" w:space="0"/>
        </w:tcBorders>
      </w:tcPr>
    </w:tblStylePr>
  </w:style>
  <w:style w:type="table" w:styleId="882" w:customStyle="1">
    <w:name w:val="Bordered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9C9C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9C9C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9C9C9" w:themeColor="accent3" w:sz="12" w:space="0"/>
        </w:tcBorders>
      </w:tcPr>
    </w:tblStylePr>
  </w:style>
  <w:style w:type="table" w:styleId="883" w:customStyle="1">
    <w:name w:val="Bordered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FD865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FD865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FD865" w:themeColor="accent4" w:sz="12" w:space="0"/>
        </w:tcBorders>
      </w:tcPr>
    </w:tblStylePr>
  </w:style>
  <w:style w:type="table" w:styleId="884" w:customStyle="1">
    <w:name w:val="Bordered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DA9DB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DA9DB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DA9DB" w:themeColor="accent5" w:sz="12" w:space="0"/>
        </w:tcBorders>
      </w:tcPr>
    </w:tblStylePr>
  </w:style>
  <w:style w:type="table" w:styleId="885" w:customStyle="1">
    <w:name w:val="Bordered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A9D08E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A9D08E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A9D08E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Анастасия Владимировна</dc:creator>
  <dc:description/>
  <dc:language>ru-RU</dc:language>
  <cp:revision>26</cp:revision>
  <dcterms:created xsi:type="dcterms:W3CDTF">2023-02-08T10:56:00Z</dcterms:created>
  <dcterms:modified xsi:type="dcterms:W3CDTF">2025-03-12T08:43:13Z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