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ПРИКАЗ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696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40"/>
              <w:ind w:left="0" w:right="0" w:firstLine="0"/>
              <w:jc w:val="right"/>
              <w:spacing w:line="240" w:lineRule="auto"/>
              <w:tabs>
                <w:tab w:val="left" w:pos="4638" w:leader="none"/>
              </w:tabs>
              <w:rPr>
                <w:sz w:val="28"/>
                <w:szCs w:val="28"/>
              </w:rPr>
              <w:framePr w:hSpace="180" w:wrap="around" w:vAnchor="text" w:hAnchor="text" w:y="1"/>
              <w:suppressLineNumbers w:val="0"/>
            </w:pPr>
            <w:r>
              <w:rPr>
                <w:sz w:val="28"/>
                <w:szCs w:val="28"/>
              </w:rPr>
              <w:t xml:space="preserve">№ 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84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0"/>
        <w:jc w:val="center"/>
        <w:spacing w:line="240" w:lineRule="auto"/>
        <w:rPr>
          <w:b w:val="0"/>
          <w:bCs w:val="0"/>
          <w:vanish/>
          <w:sz w:val="28"/>
          <w:szCs w:val="28"/>
        </w:rPr>
      </w:pP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</w:p>
    <w:p>
      <w:pPr>
        <w:pStyle w:val="840"/>
        <w:ind w:left="284" w:firstLine="0"/>
        <w:jc w:val="center"/>
        <w:spacing w:line="240" w:lineRule="auto"/>
        <w:tabs>
          <w:tab w:val="left" w:pos="1080" w:leader="none"/>
        </w:tabs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приказ министерства строительства Новосибирской области</w:t>
      </w:r>
      <w:r>
        <w:rPr>
          <w:b/>
          <w:sz w:val="28"/>
          <w:szCs w:val="28"/>
        </w:rPr>
        <w:t xml:space="preserve"> от 21.06.2021 № 389</w:t>
      </w:r>
      <w:r>
        <w:rPr>
          <w:b/>
          <w:sz w:val="28"/>
          <w:szCs w:val="28"/>
        </w:rPr>
      </w:r>
      <w:r/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частью 8 статьи 70 Градостроительного кодекса Российской Федерации, пунктом 1 части 1 статьи 3 Закона Новосибирской области от 07.06.2021 № 86-ОЗ «О разграничении полномочий в сфере комплексного развития территорий в Новосибирской области»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</w:t>
      </w:r>
      <w:r>
        <w:rPr>
          <w:b/>
          <w:sz w:val="28"/>
          <w:szCs w:val="28"/>
        </w:rPr>
        <w:t xml:space="preserve">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</w:pPr>
      <w:r>
        <w:rPr>
          <w:sz w:val="28"/>
          <w:szCs w:val="28"/>
          <w:highlight w:val="none"/>
        </w:rPr>
        <w:t xml:space="preserve">Внести в приказ министерства строительства Новосибирской области от 21.06.2021 № 389 «</w:t>
      </w:r>
      <w:r>
        <w:rPr>
          <w:sz w:val="28"/>
          <w:szCs w:val="28"/>
          <w:highlight w:val="none"/>
        </w:rPr>
        <w:t xml:space="preserve">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sz w:val="28"/>
          <w:szCs w:val="28"/>
          <w:highlight w:val="none"/>
        </w:rPr>
        <w:t xml:space="preserve">» следующие изменения:</w:t>
      </w:r>
      <w:r/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Порядке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пункте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подпункте 2 после слов «</w:t>
      </w:r>
      <w:r>
        <w:rPr>
          <w:sz w:val="28"/>
          <w:szCs w:val="28"/>
          <w:highlight w:val="none"/>
        </w:rPr>
        <w:t xml:space="preserve">расчетная численность населения</w:t>
      </w:r>
      <w:r>
        <w:rPr>
          <w:sz w:val="28"/>
          <w:szCs w:val="28"/>
          <w:highlight w:val="none"/>
        </w:rPr>
        <w:t xml:space="preserve">» дополнить словами «,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расчетная потребность в объектах социальной инфраструктуры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beforeAutospacing="0" w:line="240" w:lineRule="auto"/>
        <w:tabs>
          <w:tab w:val="left" w:pos="1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дополнить подпунктами 6, 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«6) декларация правообладателя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документ, подписанный правообладателем (правообладателями), предусматривающий готовность правообладателя (правообладателей) взять на себя обязательства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созданию объектов местного значения коммунальной, транспортной, социальной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инфраструктур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объеме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менее расчетной потребности,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определенной в подпункте 2 пункта 1 настоящего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</w:t>
      </w:r>
      <w:r>
        <w:rPr>
          <w:sz w:val="28"/>
          <w:szCs w:val="28"/>
        </w:rPr>
        <w:t xml:space="preserve">сведения об условиях и объеме участия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вообладателя в создании объектов социальной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реализации комплексного развития территории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Проект) не менее: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дошкольных образовательных организациях;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количества мест в общеобразовательных организациях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образований: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Бердск,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сельских поселений Новосибирского района Новосибирской области;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необходимым нормативным количеством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данного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дошкол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ьных образовательных организациях на места в общеобразовательных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1,3;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 Проекта существует резерв мест в общеобразовательных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Проект необходимым нормативным количеством 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данного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общеобразовательных организациях на места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общеобразовательных организациях, необходимых для нормативного обеспечения перспективной жилой застройки в рамках Проекта, человек;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дошкольных образовательных организациях, необходимых для нормативного обес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печения перспективной жилой застройки в рамках Проекта, человек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В случае,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общеобразовательных организациях и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частично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 в общеобразовательных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соответствующий объем участия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лица, с которым будет заключен договор о комплексном развитии территории,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может быть предусмотрен на иных территориях в границах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территория, на которой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 территориального планирования муниципального образования 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размещение объекта социальной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находится в государственной или муниципальной собственности, допускается зачет выкупа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лицом, с которым будет заключен договор о комплексном развитии территории,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земельных участков, необходимых для создания объекта социальной инфраструктуры в объеме: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знака после запятой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меньшую сторону) земельного участка эквива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лентны 1 месту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общеобразовательных организациях (исходя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муниципальных образований: город Новосибирск,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области, город Бердск, город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1 знака после запятой в меньшую сторону)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земельного участка эквивалентны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0,5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общеобразовательных организациях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и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 све</w:t>
      </w:r>
      <w:r>
        <w:rPr>
          <w:b w:val="0"/>
          <w:bCs w:val="0"/>
          <w:sz w:val="28"/>
          <w:szCs w:val="28"/>
          <w:highlight w:val="white"/>
        </w:rPr>
        <w:t xml:space="preserve">дения</w:t>
      </w:r>
      <w:r>
        <w:rPr>
          <w:b w:val="0"/>
          <w:bCs w:val="0"/>
          <w:sz w:val="28"/>
          <w:szCs w:val="28"/>
          <w:highlight w:val="none"/>
        </w:rPr>
        <w:t xml:space="preserve"> о </w:t>
      </w:r>
      <w:r>
        <w:rPr>
          <w:b w:val="0"/>
          <w:bCs w:val="0"/>
          <w:sz w:val="28"/>
          <w:szCs w:val="28"/>
          <w:highlight w:val="none"/>
        </w:rPr>
        <w:t xml:space="preserve">способе и размере обеспечения исполнения договора правообладателем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2.</w:t>
      </w:r>
      <w:r>
        <w:rPr>
          <w:b w:val="0"/>
          <w:bCs w:val="0"/>
          <w:sz w:val="28"/>
          <w:szCs w:val="28"/>
          <w:highlight w:val="white"/>
        </w:rPr>
        <w:t xml:space="preserve"> Дополнить пункт 2</w:t>
      </w:r>
      <w:r>
        <w:rPr>
          <w:b w:val="0"/>
          <w:bCs w:val="0"/>
          <w:sz w:val="28"/>
          <w:szCs w:val="28"/>
          <w:highlight w:val="none"/>
        </w:rPr>
        <w:t xml:space="preserve"> абзацем</w:t>
      </w:r>
      <w:r>
        <w:rPr>
          <w:b w:val="0"/>
          <w:bCs w:val="0"/>
          <w:sz w:val="28"/>
          <w:szCs w:val="28"/>
          <w:highlight w:val="none"/>
        </w:rPr>
        <w:t xml:space="preserve"> следующего содержания: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Отклонение предложения о комплексном развитии территории осуществляется в случае, если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бязательства по созданию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объектов транспортной, инженерной и социальной инфраструктур, необходимых для реализации решения о комплексном развитии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возлагаемые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предусмотрены муниципальным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актами за счет средств местного бюджета или не подтверждены письмами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высшего должностного лица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 Российской Федерации (заместителя высшего должностного лица субъекта Российской Федерации), либо председателя высшего исполнительного органа субъекта Российской Федерации (заместителя председателя высшего исполнительного органа субъекта Российской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 в соответствии с установленным высшим должностным лицом субъекта Российской Федерации распределением обязанностей), 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местной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09"/>
        <w:jc w:val="both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0"/>
        <w:jc w:val="both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1848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8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spacing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jc w:val="right"/>
              <w:spacing w:line="240" w:lineRule="auto"/>
              <w:tabs>
                <w:tab w:val="left" w:pos="146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ind w:firstLine="720"/>
      <w:spacing w:line="300" w:lineRule="auto"/>
    </w:pPr>
    <w:rPr>
      <w:sz w:val="24"/>
      <w:szCs w:val="24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50"/>
    <w:pPr>
      <w:ind w:firstLine="0"/>
      <w:spacing w:line="240" w:lineRule="auto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45">
    <w:name w:val="Основной текст 2,Мой Заголовок 1"/>
    <w:basedOn w:val="840"/>
    <w:next w:val="845"/>
    <w:link w:val="848"/>
    <w:pPr>
      <w:ind w:firstLine="0"/>
      <w:jc w:val="center"/>
      <w:spacing w:line="240" w:lineRule="auto"/>
    </w:pPr>
    <w:rPr>
      <w:b/>
      <w:bCs/>
      <w:sz w:val="28"/>
      <w:szCs w:val="28"/>
    </w:rPr>
  </w:style>
  <w:style w:type="paragraph" w:styleId="846">
    <w:name w:val="заголовок 5"/>
    <w:basedOn w:val="840"/>
    <w:next w:val="840"/>
    <w:link w:val="840"/>
    <w:pPr>
      <w:ind w:firstLine="0"/>
      <w:jc w:val="center"/>
      <w:keepNext/>
      <w:spacing w:line="240" w:lineRule="auto"/>
      <w:outlineLvl w:val="4"/>
    </w:pPr>
  </w:style>
  <w:style w:type="table" w:styleId="847">
    <w:name w:val="Сетка таблицы"/>
    <w:basedOn w:val="842"/>
    <w:next w:val="847"/>
    <w:link w:val="840"/>
    <w:pPr>
      <w:ind w:firstLine="720"/>
      <w:spacing w:line="300" w:lineRule="auto"/>
    </w:pPr>
    <w:rPr>
      <w:lang w:bidi="ar-SA"/>
    </w:rPr>
    <w:tblPr/>
  </w:style>
  <w:style w:type="character" w:styleId="848">
    <w:name w:val="Основной текст 2 Знак,Мой Заголовок 1 Знак"/>
    <w:next w:val="848"/>
    <w:link w:val="845"/>
    <w:rPr>
      <w:b/>
      <w:bCs/>
      <w:sz w:val="28"/>
      <w:szCs w:val="28"/>
      <w:lang w:val="ru-RU" w:eastAsia="ru-RU" w:bidi="ar-SA"/>
    </w:rPr>
  </w:style>
  <w:style w:type="paragraph" w:styleId="849">
    <w:name w:val=" Знак"/>
    <w:basedOn w:val="840"/>
    <w:next w:val="849"/>
    <w:link w:val="840"/>
    <w:pPr>
      <w:ind w:firstLine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0">
    <w:name w:val="Верхний колонтитул Знак"/>
    <w:next w:val="850"/>
    <w:link w:val="844"/>
    <w:rPr>
      <w:lang w:val="ru-RU" w:eastAsia="ru-RU" w:bidi="ar-SA"/>
    </w:rPr>
  </w:style>
  <w:style w:type="table" w:styleId="851">
    <w:name w:val="Сетка таблицы1"/>
    <w:basedOn w:val="842"/>
    <w:next w:val="847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53"/>
    <w:pPr>
      <w:spacing w:line="240" w:lineRule="auto"/>
    </w:pPr>
    <w:rPr>
      <w:rFonts w:ascii="Tahoma" w:hAnsi="Tahoma" w:cs="Tahoma"/>
      <w:sz w:val="16"/>
      <w:szCs w:val="16"/>
    </w:rPr>
  </w:style>
  <w:style w:type="character" w:styleId="853">
    <w:name w:val="Текст выноски Знак"/>
    <w:next w:val="853"/>
    <w:link w:val="852"/>
    <w:rPr>
      <w:rFonts w:ascii="Tahoma" w:hAnsi="Tahoma" w:cs="Tahoma"/>
      <w:sz w:val="16"/>
      <w:szCs w:val="16"/>
    </w:rPr>
  </w:style>
  <w:style w:type="paragraph" w:styleId="854">
    <w:name w:val="Основной текст с отступом"/>
    <w:basedOn w:val="840"/>
    <w:next w:val="854"/>
    <w:link w:val="855"/>
    <w:pPr>
      <w:ind w:left="720" w:firstLine="540"/>
      <w:jc w:val="both"/>
      <w:spacing w:line="240" w:lineRule="auto"/>
    </w:pPr>
    <w:rPr>
      <w:color w:val="000000"/>
      <w:sz w:val="28"/>
      <w:szCs w:val="36"/>
    </w:rPr>
  </w:style>
  <w:style w:type="character" w:styleId="855">
    <w:name w:val="Основной текст с отступом Знак"/>
    <w:next w:val="855"/>
    <w:link w:val="854"/>
    <w:rPr>
      <w:color w:val="000000"/>
      <w:sz w:val="28"/>
      <w:szCs w:val="3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revision>25</cp:revision>
  <dcterms:created xsi:type="dcterms:W3CDTF">2022-01-25T03:37:00Z</dcterms:created>
  <dcterms:modified xsi:type="dcterms:W3CDTF">2024-12-28T04:38:46Z</dcterms:modified>
  <cp:version>917504</cp:version>
</cp:coreProperties>
</file>