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left="6378" w:righ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министерства строительства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 № 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6378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0" w:name="P30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заключения договора о комплексном развитии территории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 правообладателями земельных участков и (или) расположенных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них объектов недвижимого имущества без проведения торгов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целях заключения договора о комплексном развитии территории, заключаемого органами местного самоуправления с правообладателями земельных участков и (или) расположенных на них объектов недвижимого имущества (далее 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договор), лица, указанные в </w:t>
      </w:r>
      <w:hyperlink r:id="rId12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 w:history="1">
        <w:r>
          <w:rPr>
            <w:sz w:val="28"/>
            <w:szCs w:val="28"/>
          </w:rPr>
          <w:t xml:space="preserve">части 1 статьи 70</w:t>
        </w:r>
      </w:hyperlink>
      <w:r>
        <w:rPr>
          <w:sz w:val="28"/>
          <w:szCs w:val="28"/>
        </w:rPr>
        <w:t xml:space="preserve"> Градостроительного кодекса Российской Федерации (далее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правообладатели, заявители), направляют </w:t>
      </w:r>
      <w:r>
        <w:rPr>
          <w:bCs/>
          <w:sz w:val="28"/>
          <w:szCs w:val="28"/>
        </w:rPr>
        <w:t xml:space="preserve">лично или по почте в орган местного самоуправления, на территории которого предполагается осуществление комплексного развития территории (далее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уполномоченный орган),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о комплексном развитии территории по инициативе правообладателей (далее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заявление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Заявление подается от имени всех правообладателей земельных участков и (или) расположенных на них объектов недвижимого имущества, находящихся в границах территории, подлежащей комплексному развитию по инициативе правообладателей.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В заявлении должны быть указаны: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полное и сокращенное (при наличии) наименование, местонахождение и адрес юридического лица, идентификационный номер налогоплательщика, основной государственный регистрационный номер, контактный телефон (в случае подачи заявления юридическим лицом);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фамилия, имя, отчество (при наличии), данные документа, удостоверяющего личность, место жите</w:t>
      </w:r>
      <w:r>
        <w:rPr>
          <w:bCs/>
          <w:sz w:val="28"/>
          <w:szCs w:val="28"/>
        </w:rPr>
        <w:t xml:space="preserve">льства, идентификационный номер налогоплательщика, страховой номер индивидуального лицевого счета в системе обязательного пенсионного страхования, контактный телефон (в случае подачи заявления физическим лицом, в том числе индивидуальным предпринимателем);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</w:t>
      </w:r>
      <w:r>
        <w:t xml:space="preserve"> </w:t>
      </w:r>
      <w:r>
        <w:rPr>
          <w:bCs/>
          <w:sz w:val="28"/>
          <w:szCs w:val="28"/>
        </w:rPr>
        <w:t xml:space="preserve">фамилия, имя, отчество (при наличии) лица, уполномоченного действовать от имени заявителя (в случае подачи заявления представителем заявителя);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 кадастровые номера и адрес (или описание местоположения) земельных участков и (или) расположенных на них объектов недвижимого имущества, в отношении которых предлагается заключить договор;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 адрес и способ направления заявителю документов по результатам рассмотрения заявления.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К заявлению прилагаются следующие документы и материалы: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архитектурно-градостроительная концепция развития территории, включающая: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схему территории, комплексное развитие которой предполагается, с указанием границ такой территории, кадастровых номеров и площади расположенных в границах такой территории земельных участков и расположенных на них объектов недвижимости;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pacing w:before="0" w:beforeAutospacing="0" w:after="0" w:afterAutospacing="0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 схему границ территории, подлежащей комплексному развитию, на которой отображены объекты местности и подземных сооружения, с указанием координат характерных точек границ территории, а также зоны с особыми условиями использования территории. </w:t>
      </w:r>
      <w:r>
        <w:rPr>
          <w:bCs/>
          <w:sz w:val="28"/>
          <w:szCs w:val="28"/>
        </w:rPr>
        <w:t xml:space="preserve">Схема границ составляется с использованием картографической основы в диапазоне масштабов 1:500 - 1:1000 в местной системе координат Новосибирской области, подготовленной не более, чем за 6 месяцев до даты подачи заявления о комплексном развитии территории;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2"/>
        <w:ind w:firstLine="709"/>
        <w:jc w:val="both"/>
        <w:spacing w:before="0" w:beforeAutospacing="0" w:after="0" w:afterAutospacing="0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 </w:t>
      </w:r>
      <w:r>
        <w:rPr>
          <w:bCs/>
          <w:sz w:val="28"/>
          <w:szCs w:val="28"/>
        </w:rPr>
        <w:t xml:space="preserve">сведения о документации по планировке территории, в соответствии с которой осуществляется ее комплексное развитие (при наличии такой документации);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2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 чертеж или чертежи планировки территории (в случае, если требуется подготовка новой документации по планировке территории), на которых отображаются: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красные линии (в случае, если планируется их установление или изменение);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зон планируемого размещения объектов капитального строительства;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 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</w:t>
      </w:r>
      <w:r>
        <w:rPr>
          <w:sz w:val="28"/>
          <w:szCs w:val="28"/>
        </w:rPr>
        <w:t xml:space="preserve">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включенных в программы ко</w:t>
      </w:r>
      <w:r>
        <w:rPr>
          <w:sz w:val="28"/>
          <w:szCs w:val="28"/>
        </w:rPr>
        <w:t xml:space="preserve">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r>
        <w:rPr>
          <w:sz w:val="28"/>
          <w:szCs w:val="28"/>
        </w:rPr>
        <w:t xml:space="preserve">. 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</w:t>
      </w:r>
      <w:r>
        <w:rPr>
          <w:sz w:val="28"/>
          <w:szCs w:val="28"/>
        </w:rPr>
        <w:t xml:space="preserve">в, а также о планируемых мероприятиях по обеспечению сохранения применительно к территориальным </w:t>
      </w:r>
      <w:r>
        <w:rPr>
          <w:sz w:val="28"/>
          <w:szCs w:val="28"/>
        </w:rPr>
        <w:t xml:space="preserve">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 предложения об очередности планируемого развития территории, содержащие этапы и максимальные сроки осуществления: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pacing w:before="0" w:beforeAutospacing="0" w:after="0" w:afterAutospacing="0"/>
        <w:shd w:val="clear" w:color="auto" w:fill="ffffff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архитектурно-строительного проектирования, строительства, реконструкции объектов капитального строительства жилого, производственного, общ</w:t>
      </w:r>
      <w:r>
        <w:rPr>
          <w:sz w:val="28"/>
          <w:szCs w:val="28"/>
        </w:rPr>
        <w:t xml:space="preserve">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) описание планируемых элементов благоустройства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>
        <w:rPr>
          <w:rFonts w:eastAsia="Arial"/>
          <w:bCs/>
          <w:sz w:val="28"/>
          <w:szCs w:val="28"/>
          <w:lang w:bidi="ru-RU"/>
        </w:rPr>
        <w:t xml:space="preserve">3) расчет потребности территории комплексного развития в объектах </w:t>
      </w:r>
      <w:r>
        <w:rPr>
          <w:bCs/>
          <w:sz w:val="28"/>
          <w:szCs w:val="28"/>
        </w:rPr>
        <w:t xml:space="preserve">коммунальной, транспортной,</w:t>
      </w:r>
      <w:r>
        <w:rPr>
          <w:bCs/>
          <w:sz w:val="28"/>
          <w:szCs w:val="28"/>
        </w:rPr>
        <w:t xml:space="preserve"> </w:t>
      </w:r>
      <w:r>
        <w:rPr>
          <w:rFonts w:eastAsia="Arial"/>
          <w:bCs/>
          <w:sz w:val="28"/>
          <w:szCs w:val="28"/>
          <w:lang w:bidi="ru-RU"/>
        </w:rPr>
        <w:t xml:space="preserve">социальной инфраструктур в соответствии с нормативами градостроительного проектирования;</w:t>
      </w:r>
      <w:r>
        <w:rPr>
          <w:rFonts w:eastAsia="Arial"/>
          <w:bCs/>
          <w:sz w:val="28"/>
          <w:szCs w:val="28"/>
          <w:lang w:bidi="ru-RU"/>
        </w:rPr>
      </w:r>
      <w:r>
        <w:rPr>
          <w:rFonts w:eastAsia="Arial"/>
          <w:bCs/>
          <w:sz w:val="28"/>
          <w:szCs w:val="28"/>
          <w:lang w:bidi="ru-RU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 сведения о способах обеспечения территории объектами коммунальной, транспортной, социальной инфраструктур;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пояснительную записку, которая должна содержать обоснование соответствия содержания </w:t>
      </w:r>
      <w:r>
        <w:rPr>
          <w:sz w:val="28"/>
          <w:szCs w:val="28"/>
        </w:rPr>
        <w:t xml:space="preserve">комплексного развития территории</w:t>
      </w:r>
      <w:r>
        <w:rPr>
          <w:sz w:val="28"/>
          <w:szCs w:val="28"/>
        </w:rPr>
        <w:t xml:space="preserve"> достижению целей комплексного развития территории, установленных статьей 64 Градостроительного кодекса Российской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6) 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заверенные подписью и печатью (при наличии) заявителя копии имеющихся в его распоряжении документов, подт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7) 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территории, к заявлению прилагаются: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документ, содержащий сведения о сроке действия прав на земельный участок, расположенный в границах комплексного развития </w:t>
      </w:r>
      <w:r>
        <w:rPr>
          <w:bCs/>
          <w:sz w:val="28"/>
          <w:szCs w:val="28"/>
        </w:rPr>
        <w:t xml:space="preserve">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частью 1 статьи 70 Градостроительного кодекса Российской Федерации;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территории;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соглаш</w:t>
      </w:r>
      <w:r>
        <w:rPr>
          <w:sz w:val="28"/>
          <w:szCs w:val="28"/>
        </w:rPr>
        <w:t xml:space="preserve">ение о разграничении обязанностей по осуществлению мероприятий по комплексному развитию террито</w:t>
      </w:r>
      <w:r>
        <w:rPr>
          <w:sz w:val="28"/>
          <w:szCs w:val="28"/>
        </w:rPr>
        <w:t xml:space="preserve">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правообладателями), содержащее условия, установленные статьей 70 Градостроительного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 декларация правоо</w:t>
      </w:r>
      <w:r>
        <w:rPr>
          <w:sz w:val="28"/>
          <w:szCs w:val="28"/>
        </w:rPr>
        <w:t xml:space="preserve">бладателя (правообладателей) – документ, подписанный правообладателем (правообладателями), предусматривающий готовность правообладателя (правообладателей) взять на себя обязательства по созданию объектов коммунальной, социальной, транспортной инфраструктур</w:t>
      </w:r>
      <w:r>
        <w:rPr>
          <w:sz w:val="28"/>
          <w:szCs w:val="28"/>
        </w:rPr>
        <w:t xml:space="preserve"> местного значения при реализации комплексного развития территории (далее – Проект) в соответствии с показателями уровня обеспеченности такими объектами, приведенными в архитектурно-градостроительной концепции развития территории. При этом обязательства по</w:t>
      </w:r>
      <w:r>
        <w:rPr>
          <w:sz w:val="28"/>
          <w:szCs w:val="28"/>
        </w:rPr>
        <w:t xml:space="preserve"> созданию объектов социальной инфраструктуры должны предусматривать не менее: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tabs>
          <w:tab w:val="left" w:pos="12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100% количества мест в дошкольных образовательных организациях;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tabs>
          <w:tab w:val="left" w:pos="12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100% количества мест в общеобразовательных организациях (исходя и</w:t>
      </w:r>
      <w:r>
        <w:rPr>
          <w:sz w:val="28"/>
          <w:szCs w:val="28"/>
        </w:rPr>
        <w:t xml:space="preserve">з проектной вместимости объекта в одну смену), если для реализации Проекта требуется внесение изменений в генеральный план поселения, генеральный план муниципального округа, генеральный план городского округа, в целях установления жилых функциональных зон;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tabs>
          <w:tab w:val="left" w:pos="12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50% количества мест в общеобразовательных организациях (исходя из проектной вместимости объекта в одну смену) для муниципальных образований: город Новосибирск, город Бердск, город Обь, </w:t>
      </w:r>
      <w:r>
        <w:rPr>
          <w:sz w:val="28"/>
          <w:szCs w:val="28"/>
        </w:rPr>
        <w:t xml:space="preserve">р.п</w:t>
      </w:r>
      <w:r>
        <w:rPr>
          <w:sz w:val="28"/>
          <w:szCs w:val="28"/>
        </w:rPr>
        <w:t xml:space="preserve">. Кольцово, </w:t>
      </w:r>
      <w:r>
        <w:rPr>
          <w:sz w:val="28"/>
          <w:szCs w:val="28"/>
        </w:rPr>
        <w:t xml:space="preserve">р.п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Краснообск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tabs>
          <w:tab w:val="left" w:pos="12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40% количества мест в общеобразовательных организациях (исходя из проектной вместимости объекта в одну смену) для сельских поселений Новосибирского района Новосибирской области;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tabs>
          <w:tab w:val="left" w:pos="12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30% количества мест в общеобразовательных организациях (исходя из проектной вместимости объекта в одну смену) для городских и сельских поселений </w:t>
      </w:r>
      <w:r>
        <w:rPr>
          <w:sz w:val="28"/>
          <w:szCs w:val="28"/>
        </w:rPr>
        <w:t xml:space="preserve">Коченевского</w:t>
      </w:r>
      <w:r>
        <w:rPr>
          <w:sz w:val="28"/>
          <w:szCs w:val="28"/>
        </w:rPr>
        <w:t xml:space="preserve"> района Новосибирской области, </w:t>
      </w:r>
      <w:r>
        <w:rPr>
          <w:sz w:val="28"/>
          <w:szCs w:val="28"/>
        </w:rPr>
        <w:t xml:space="preserve">Мошковского</w:t>
      </w:r>
      <w:r>
        <w:rPr>
          <w:sz w:val="28"/>
          <w:szCs w:val="28"/>
        </w:rPr>
        <w:t xml:space="preserve"> района Новосибирской области и города </w:t>
      </w:r>
      <w:r>
        <w:rPr>
          <w:sz w:val="28"/>
          <w:szCs w:val="28"/>
        </w:rPr>
        <w:t xml:space="preserve">Искитима</w:t>
      </w:r>
      <w:r>
        <w:rPr>
          <w:sz w:val="28"/>
          <w:szCs w:val="28"/>
          <w:lang w:bidi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дошкольных образовательных организациях, позволяющий полностью или частично обеспечить Проек</w:t>
      </w:r>
      <w:r>
        <w:rPr>
          <w:sz w:val="28"/>
          <w:szCs w:val="28"/>
        </w:rPr>
        <w:t xml:space="preserve">т необходимым нормативным количеством мест в дошкольных образовательных организациях, допускается замена данного количества мест в дошкольных образовательных организациях на места в общеобразовательных организациях, пересчет количества мест осуществляется </w:t>
      </w:r>
      <w:r>
        <w:rPr>
          <w:sz w:val="28"/>
          <w:szCs w:val="28"/>
        </w:rPr>
        <w:t xml:space="preserve">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</w:t>
      </w:r>
      <w:r>
        <w:rPr>
          <w:sz w:val="28"/>
          <w:szCs w:val="28"/>
          <w:vertAlign w:val="subscript"/>
        </w:rPr>
        <w:t xml:space="preserve">мест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шк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V</w:t>
      </w:r>
      <w:r>
        <w:rPr>
          <w:sz w:val="28"/>
          <w:szCs w:val="28"/>
          <w:vertAlign w:val="subscript"/>
        </w:rPr>
        <w:t xml:space="preserve">мест</w:t>
      </w:r>
      <w:r>
        <w:rPr>
          <w:sz w:val="28"/>
          <w:szCs w:val="28"/>
          <w:vertAlign w:val="subscript"/>
        </w:rPr>
        <w:t xml:space="preserve"> сад</w:t>
      </w:r>
      <w:r>
        <w:rPr>
          <w:sz w:val="28"/>
          <w:szCs w:val="28"/>
        </w:rPr>
        <w:t xml:space="preserve"> / 1,3;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общеобразовательных организациях, позволяющий полностью или частично обеспечить Проект не</w:t>
      </w:r>
      <w:r>
        <w:rPr>
          <w:sz w:val="28"/>
          <w:szCs w:val="28"/>
        </w:rPr>
        <w:t xml:space="preserve">обходимым нормативным количеством мест в общеобразовательных организациях, допускается замена данного количества мест в общеобразовательных организациях на места в дошкольных образовательных организациях, пересчет количества мест осуществляется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</w:t>
      </w:r>
      <w:r>
        <w:rPr>
          <w:sz w:val="28"/>
          <w:szCs w:val="28"/>
          <w:vertAlign w:val="subscript"/>
        </w:rPr>
        <w:t xml:space="preserve">мест</w:t>
      </w:r>
      <w:r>
        <w:rPr>
          <w:sz w:val="28"/>
          <w:szCs w:val="28"/>
          <w:vertAlign w:val="subscript"/>
        </w:rPr>
        <w:t xml:space="preserve"> сад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V</w:t>
      </w:r>
      <w:r>
        <w:rPr>
          <w:sz w:val="28"/>
          <w:szCs w:val="28"/>
          <w:vertAlign w:val="subscript"/>
        </w:rPr>
        <w:t xml:space="preserve">мест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шк</w:t>
      </w:r>
      <w:r>
        <w:rPr>
          <w:sz w:val="28"/>
          <w:szCs w:val="28"/>
        </w:rPr>
        <w:t xml:space="preserve"> х 1,3,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</w:t>
      </w:r>
      <w:r>
        <w:rPr>
          <w:sz w:val="28"/>
          <w:szCs w:val="28"/>
          <w:vertAlign w:val="subscript"/>
        </w:rPr>
        <w:t xml:space="preserve">мест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шк</w:t>
      </w:r>
      <w:r>
        <w:rPr>
          <w:sz w:val="28"/>
          <w:szCs w:val="28"/>
        </w:rPr>
        <w:t xml:space="preserve"> – количество мест в общеобразовательных организациях, необходимых для нормативного обеспечения перспективной жилой застройки в рамках Проекта, человек;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</w:t>
      </w:r>
      <w:r>
        <w:rPr>
          <w:sz w:val="28"/>
          <w:szCs w:val="28"/>
          <w:vertAlign w:val="subscript"/>
        </w:rPr>
        <w:t xml:space="preserve">мест</w:t>
      </w:r>
      <w:r>
        <w:rPr>
          <w:sz w:val="28"/>
          <w:szCs w:val="28"/>
          <w:vertAlign w:val="subscript"/>
        </w:rPr>
        <w:t xml:space="preserve"> сад</w:t>
      </w:r>
      <w:r>
        <w:rPr>
          <w:sz w:val="28"/>
          <w:szCs w:val="28"/>
        </w:rPr>
        <w:t xml:space="preserve"> – количество мест в дошкольных образовательных организациях, необходимых для нормативного обеспечения перспективной жилой застройки в рамках Проекта,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радиусе доступности, устанавливаемом местными нормативами градостроительного проектирования, от границ территории Проекта существует резерв мест в общеобразовательных органи</w:t>
      </w:r>
      <w:r>
        <w:rPr>
          <w:sz w:val="28"/>
          <w:szCs w:val="28"/>
        </w:rPr>
        <w:t xml:space="preserve">зациях и дошкольных образовательных организациях, позволяющий полностью или частично обеспечить Проект необходимым нормативным количеством мест в общеобразовательных организациях и/или дошкольных образовательных организациях, соответствующий объем участия </w:t>
      </w:r>
      <w:r>
        <w:rPr>
          <w:sz w:val="28"/>
          <w:szCs w:val="28"/>
          <w:lang w:bidi="en-US"/>
        </w:rPr>
        <w:t xml:space="preserve">лица, с которым будет заключен договор о комплексном развитии территории,</w:t>
      </w:r>
      <w:r>
        <w:rPr>
          <w:sz w:val="28"/>
          <w:szCs w:val="28"/>
        </w:rPr>
        <w:t xml:space="preserve"> может быть предусмотрен на иных территориях в границах </w:t>
      </w:r>
      <w:r>
        <w:rPr>
          <w:sz w:val="28"/>
          <w:szCs w:val="28"/>
        </w:rPr>
        <w:t xml:space="preserve">муниципального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территория, на которой документами территориального планирования муниципального образования предусмотрено размещение объекта социальной инфраструктуры, не находится в государственной или муниципальной собственности, допускается зачет выкупа </w:t>
      </w:r>
      <w:r>
        <w:rPr>
          <w:sz w:val="28"/>
          <w:szCs w:val="28"/>
          <w:lang w:bidi="en-US"/>
        </w:rPr>
        <w:t xml:space="preserve">лицом, с которым будет заключен договор о комплексном развитии территории,</w:t>
      </w:r>
      <w:r>
        <w:rPr>
          <w:sz w:val="28"/>
          <w:szCs w:val="28"/>
        </w:rPr>
        <w:t xml:space="preserve"> земельных участков, необходимых для создания объекта социальной инфраструктуры в объеме: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tabs>
          <w:tab w:val="left" w:pos="12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каждые 0,01 га (с округлением до 1 знака после запятой в меньшую сторону) земельного уч</w:t>
      </w:r>
      <w:r>
        <w:rPr>
          <w:sz w:val="28"/>
          <w:szCs w:val="28"/>
        </w:rPr>
        <w:t xml:space="preserve">астка эквивалентны 1 месту в общеобразовательных организациях (исходя из проектной вместимости объекта в одну смену) для муниципальных образований: город Новосибирск, сельские поселения Новосибирского района Новосибирской области, город Бердск, город Обь, </w:t>
      </w:r>
      <w:r>
        <w:rPr>
          <w:sz w:val="28"/>
          <w:szCs w:val="28"/>
        </w:rPr>
        <w:t xml:space="preserve">р.п</w:t>
      </w:r>
      <w:r>
        <w:rPr>
          <w:sz w:val="28"/>
          <w:szCs w:val="28"/>
        </w:rPr>
        <w:t xml:space="preserve">. Кольцово, </w:t>
      </w:r>
      <w:r>
        <w:rPr>
          <w:sz w:val="28"/>
          <w:szCs w:val="28"/>
        </w:rPr>
        <w:t xml:space="preserve">р.п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Краснообск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каждые 0,01 га (с округлением до 1 знака после запятой в меньшую сторону) земельного участка эквивалентны 0,5 месту в общеобразовательных организациях (исходя из проектной вместимости объекта в одну смену) для городских и сельских поселений </w:t>
      </w:r>
      <w:r>
        <w:rPr>
          <w:sz w:val="28"/>
          <w:szCs w:val="28"/>
        </w:rPr>
        <w:t xml:space="preserve">Коченевского</w:t>
      </w:r>
      <w:r>
        <w:rPr>
          <w:sz w:val="28"/>
          <w:szCs w:val="28"/>
        </w:rPr>
        <w:t xml:space="preserve"> района Новосибирской области, </w:t>
      </w:r>
      <w:r>
        <w:rPr>
          <w:sz w:val="28"/>
          <w:szCs w:val="28"/>
        </w:rPr>
        <w:t xml:space="preserve">Мошковского</w:t>
      </w:r>
      <w:r>
        <w:rPr>
          <w:sz w:val="28"/>
          <w:szCs w:val="28"/>
        </w:rPr>
        <w:t xml:space="preserve"> района Новосибирской области и города </w:t>
      </w:r>
      <w:r>
        <w:rPr>
          <w:sz w:val="28"/>
          <w:szCs w:val="28"/>
        </w:rPr>
        <w:t xml:space="preserve">Искитима Новосибирской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10)</w:t>
      </w:r>
      <w:r>
        <w:rPr>
          <w:rFonts w:eastAsia="Arial"/>
          <w:bCs/>
          <w:sz w:val="28"/>
          <w:szCs w:val="28"/>
          <w:lang w:bidi="ru-RU"/>
        </w:rPr>
        <w:t xml:space="preserve"> 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документ, подтверждающий 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согласование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включения в границы территории, подлежащей комплексному развитию по инициативе правообладателей, земельных участков для размещения объектов коммунальной, транспортной, социальной инфраструктур, предусмотренн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ый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</w:t>
      </w:r>
      <w:hyperlink r:id="rId13" w:tooltip="https://login.consultant.ru/link/?req=doc&amp;base=LAW&amp;n=382485&amp;dst=100034" w:history="1">
        <w:r>
          <w:rPr>
            <w:rFonts w:eastAsia="Arial"/>
            <w:bCs/>
            <w:sz w:val="28"/>
            <w:szCs w:val="28"/>
            <w:highlight w:val="white"/>
            <w:lang w:bidi="ru-RU"/>
          </w:rPr>
          <w:t xml:space="preserve">пунктом 12</w:t>
        </w:r>
      </w:hyperlink>
      <w:r>
        <w:rPr>
          <w:rFonts w:eastAsia="Arial"/>
          <w:bCs/>
          <w:sz w:val="28"/>
          <w:szCs w:val="28"/>
          <w:highlight w:val="white"/>
          <w:lang w:bidi="ru-RU"/>
        </w:rPr>
        <w:t xml:space="preserve"> Правил согласования включения в границы территории, подлежащей комплексному развитию по инициативе правообладателей, земельных участков для размещения объектов коммунальной, транспортной, социальной инфраструктур, утвержденных постановлением Правительства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Российской Федерации от 19.08.2020 № 1260, подтверждающее согласование федеральным органом исполнительной власти, </w:t>
      </w:r>
      <w:r>
        <w:rPr>
          <w:sz w:val="28"/>
          <w:szCs w:val="28"/>
        </w:rPr>
        <w:t xml:space="preserve">уполномоченным областного исполнительного органа Новосибирской области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или уполномоченным органом местного самоуправления включения в границы территории, подлежащей ко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мплексному развитию, земельных участков, находящихся в государственной или муниципальной собственности, не обремененных правами третьих лиц и являющихся смежными по отношению к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одному или нескольким земельным участкам правообладателей земельных участков, для размещения объектов коммунальной, транспортной, социальной инфраструктур (в случае включения таких земельных участков в границы территории, подлежащей комплексному развитию)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bCs/>
          <w:sz w:val="28"/>
          <w:szCs w:val="28"/>
        </w:rPr>
        <w:t xml:space="preserve">11) 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проект договора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о комплексном развитии территории, заключаемый уполномоченным органом с правообладателем (правообладателями) земельных участков и (или) расположенных на них объектов недвижимого имущества (далее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highlight w:val="white"/>
          <w:lang w:bidi="ru-RU"/>
        </w:rPr>
        <w:t xml:space="preserve"> –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 договор)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, содержащий сведения, указанные в</w:t>
      </w:r>
      <w:r>
        <w:rPr>
          <w:rFonts w:eastAsia="Arial"/>
          <w:bCs/>
          <w:sz w:val="28"/>
          <w:szCs w:val="28"/>
          <w:lang w:bidi="ru-RU"/>
        </w:rPr>
        <w:t xml:space="preserve"> </w:t>
      </w:r>
      <w:hyperlink r:id="rId14" w:tooltip="https://login.consultant.ru/link/?req=doc&amp;base=LAW&amp;n=494926&amp;dst=3451" w:history="1">
        <w:r>
          <w:rPr>
            <w:rFonts w:eastAsia="Arial"/>
            <w:bCs/>
            <w:sz w:val="28"/>
            <w:szCs w:val="28"/>
            <w:highlight w:val="white"/>
            <w:lang w:bidi="ru-RU"/>
          </w:rPr>
          <w:t xml:space="preserve">части 1 статьи 67</w:t>
        </w:r>
      </w:hyperlink>
      <w:r>
        <w:rPr>
          <w:rFonts w:eastAsia="Arial"/>
          <w:bCs/>
          <w:sz w:val="28"/>
          <w:szCs w:val="28"/>
          <w:highlight w:val="white"/>
          <w:lang w:bidi="ru-RU"/>
        </w:rPr>
        <w:t xml:space="preserve"> Градостроительного кодекса Российской Федерации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,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с учетом требовани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й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</w:t>
      </w:r>
      <w:hyperlink r:id="rId15" w:tooltip="https://login.consultant.ru/link/?req=doc&amp;base=LAW&amp;n=494926&amp;dst=3525" w:history="1">
        <w:r>
          <w:rPr>
            <w:rFonts w:eastAsia="Arial"/>
            <w:bCs/>
            <w:sz w:val="28"/>
            <w:szCs w:val="28"/>
            <w:highlight w:val="white"/>
            <w:lang w:bidi="ru-RU"/>
          </w:rPr>
          <w:t xml:space="preserve">части 4 статьи 70</w:t>
        </w:r>
      </w:hyperlink>
      <w:r>
        <w:rPr>
          <w:rFonts w:eastAsia="Arial"/>
          <w:bCs/>
          <w:sz w:val="28"/>
          <w:szCs w:val="28"/>
          <w:highlight w:val="white"/>
          <w:lang w:bidi="ru-RU"/>
        </w:rPr>
        <w:t xml:space="preserve"> Градостроительного кодекса Российской Федерации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, </w:t>
      </w:r>
      <w:hyperlink r:id="rId16" w:tooltip="https://login.consultant.ru/link/?req=doc&amp;base=LAW&amp;n=494926&amp;dst=3470" w:history="1">
        <w:r>
          <w:rPr>
            <w:rFonts w:eastAsia="Arial"/>
            <w:bCs/>
            <w:sz w:val="28"/>
            <w:szCs w:val="28"/>
            <w:highlight w:val="white"/>
            <w:lang w:bidi="ru-RU"/>
          </w:rPr>
          <w:t xml:space="preserve">частях 3</w:t>
        </w:r>
      </w:hyperlink>
      <w:r>
        <w:rPr>
          <w:rFonts w:eastAsia="Arial"/>
          <w:bCs/>
          <w:sz w:val="28"/>
          <w:szCs w:val="28"/>
          <w:highlight w:val="white"/>
          <w:lang w:bidi="ru-RU"/>
        </w:rPr>
        <w:t xml:space="preserve">, </w:t>
      </w:r>
      <w:hyperlink r:id="rId17" w:tooltip="https://login.consultant.ru/link/?req=doc&amp;base=LAW&amp;n=494926&amp;dst=3471" w:history="1">
        <w:r>
          <w:rPr>
            <w:rFonts w:eastAsia="Arial"/>
            <w:bCs/>
            <w:sz w:val="28"/>
            <w:szCs w:val="28"/>
            <w:highlight w:val="white"/>
            <w:lang w:bidi="ru-RU"/>
          </w:rPr>
          <w:t xml:space="preserve">4 статьи 68</w:t>
        </w:r>
      </w:hyperlink>
      <w:r>
        <w:rPr>
          <w:rFonts w:eastAsia="Arial"/>
          <w:bCs/>
          <w:sz w:val="28"/>
          <w:szCs w:val="28"/>
          <w:highlight w:val="white"/>
          <w:lang w:bidi="ru-RU"/>
        </w:rPr>
        <w:t xml:space="preserve"> Градостроительного кодекса Российской Федерации</w:t>
      </w:r>
      <w:r>
        <w:rPr>
          <w:rFonts w:eastAsia="Arial"/>
          <w:bCs/>
          <w:sz w:val="28"/>
          <w:szCs w:val="28"/>
          <w:highlight w:val="none"/>
          <w:lang w:bidi="ru-RU"/>
        </w:rPr>
        <w:t xml:space="preserve">, а также может содержать иные сведения, предусмотренные частью 5 статьи 68 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Градостроительного кодекса Российской Федерации</w:t>
      </w:r>
      <w:r>
        <w:rPr>
          <w:rFonts w:eastAsia="Arial"/>
          <w:bCs/>
          <w:sz w:val="28"/>
          <w:szCs w:val="28"/>
          <w:highlight w:val="none"/>
          <w:lang w:bidi="ru-RU"/>
        </w:rPr>
        <w:t xml:space="preserve">, частью 4.1 статьи 70</w:t>
      </w:r>
      <w:r>
        <w:rPr>
          <w:rFonts w:eastAsia="Arial"/>
          <w:bCs/>
          <w:sz w:val="28"/>
          <w:szCs w:val="28"/>
          <w:lang w:bidi="ru-RU"/>
        </w:rPr>
        <w:t xml:space="preserve"> 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Градостроительного кодекса Российской Федерации</w:t>
      </w:r>
      <w:r>
        <w:rPr>
          <w:rFonts w:eastAsia="Arial"/>
          <w:bCs/>
          <w:sz w:val="28"/>
          <w:szCs w:val="28"/>
          <w:lang w:bidi="ru-RU"/>
        </w:rPr>
        <w:t xml:space="preserve"> </w:t>
      </w:r>
      <w:r>
        <w:rPr>
          <w:rFonts w:eastAsia="Arial"/>
          <w:bCs/>
          <w:sz w:val="28"/>
          <w:szCs w:val="28"/>
          <w:lang w:bidi="ru-RU"/>
        </w:rPr>
        <w:t xml:space="preserve">(прилагается по усмотрению заявителя);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12) копия документа, удостоверяющего личность правообладателя (для правообладателей 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bidi="ru-RU"/>
        </w:rPr>
        <w:t xml:space="preserve">–</w:t>
      </w:r>
      <w:r>
        <w:rPr>
          <w:rFonts w:eastAsia="Arial"/>
          <w:bCs/>
          <w:sz w:val="28"/>
          <w:szCs w:val="28"/>
          <w:lang w:bidi="ru-RU"/>
        </w:rPr>
        <w:t xml:space="preserve"> физических лиц);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>
        <w:rPr>
          <w:rFonts w:eastAsia="Arial"/>
          <w:bCs/>
          <w:sz w:val="28"/>
          <w:szCs w:val="28"/>
          <w:lang w:bidi="ru-RU"/>
        </w:rPr>
        <w:t xml:space="preserve">13) копи</w:t>
      </w:r>
      <w:r>
        <w:rPr>
          <w:rFonts w:eastAsia="Arial"/>
          <w:bCs/>
          <w:sz w:val="28"/>
          <w:szCs w:val="28"/>
          <w:lang w:bidi="ru-RU"/>
        </w:rPr>
        <w:t xml:space="preserve">и</w:t>
      </w:r>
      <w:r>
        <w:rPr>
          <w:rFonts w:eastAsia="Arial"/>
          <w:bCs/>
          <w:sz w:val="28"/>
          <w:szCs w:val="28"/>
          <w:lang w:bidi="ru-RU"/>
        </w:rPr>
        <w:t xml:space="preserve"> документа, удостоверяющего личность представителя</w:t>
      </w:r>
      <w:r>
        <w:rPr>
          <w:rFonts w:eastAsia="Arial"/>
          <w:bCs/>
          <w:sz w:val="28"/>
          <w:szCs w:val="28"/>
          <w:lang w:bidi="ru-RU"/>
        </w:rPr>
        <w:t xml:space="preserve">,</w:t>
      </w:r>
      <w:r>
        <w:rPr>
          <w:rFonts w:eastAsia="Arial"/>
          <w:bCs/>
          <w:sz w:val="28"/>
          <w:szCs w:val="28"/>
          <w:lang w:bidi="ru-RU"/>
        </w:rPr>
        <w:t xml:space="preserve"> и документа, подтверждающего полномочия представителя;</w:t>
      </w:r>
      <w:r>
        <w:rPr>
          <w:rFonts w:eastAsia="Arial"/>
          <w:bCs/>
          <w:sz w:val="28"/>
          <w:szCs w:val="28"/>
          <w:lang w:bidi="ru-RU"/>
        </w:rPr>
      </w:r>
      <w:r>
        <w:rPr>
          <w:rFonts w:eastAsia="Arial"/>
          <w:bCs/>
          <w:sz w:val="28"/>
          <w:szCs w:val="28"/>
          <w:lang w:bidi="ru-RU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14) </w:t>
      </w:r>
      <w:r>
        <w:rPr>
          <w:sz w:val="28"/>
          <w:szCs w:val="28"/>
        </w:rPr>
        <w:t xml:space="preserve">перечень объектов культурного наследия, подлежащих сохранению в соответствии с законодательством Росс</w:t>
      </w:r>
      <w:r>
        <w:rPr>
          <w:sz w:val="28"/>
          <w:szCs w:val="28"/>
        </w:rPr>
        <w:t xml:space="preserve">ийской Федерации об объектах культурного наследия при реализации комплексного развития территории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</w:t>
      </w:r>
      <w:r>
        <w:rPr>
          <w:sz w:val="28"/>
          <w:szCs w:val="28"/>
        </w:rPr>
        <w:t xml:space="preserve">Новосибирской области об отсутствии </w:t>
      </w:r>
      <w:r>
        <w:rPr>
          <w:sz w:val="28"/>
          <w:szCs w:val="28"/>
        </w:rPr>
        <w:t xml:space="preserve">таковых</w:t>
      </w:r>
      <w:r>
        <w:rPr>
          <w:sz w:val="28"/>
          <w:szCs w:val="28"/>
        </w:rPr>
        <w:t xml:space="preserve">.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  <w:highlight w:val="white"/>
        </w:rPr>
      </w:pPr>
      <w:r>
        <w:rPr>
          <w:rFonts w:eastAsia="Arial"/>
          <w:bCs/>
          <w:sz w:val="28"/>
          <w:szCs w:val="28"/>
          <w:lang w:bidi="ru-RU"/>
        </w:rPr>
        <w:t xml:space="preserve">3. Правообладатель одновременно с документами и материалами, указанными в </w:t>
      </w:r>
      <w:hyperlink w:history="1">
        <w:r>
          <w:rPr>
            <w:rFonts w:eastAsia="Arial"/>
            <w:bCs/>
            <w:sz w:val="28"/>
            <w:szCs w:val="28"/>
            <w:lang w:bidi="ru-RU"/>
          </w:rPr>
          <w:t xml:space="preserve">пункте</w:t>
        </w:r>
      </w:hyperlink>
      <w:r>
        <w:rPr>
          <w:rFonts w:eastAsia="Arial"/>
          <w:bCs/>
          <w:sz w:val="28"/>
          <w:szCs w:val="28"/>
          <w:lang w:bidi="ru-RU"/>
        </w:rPr>
        <w:t xml:space="preserve"> 2 настоящего Порядка, вправе по собственной инициативе представить:</w:t>
      </w:r>
      <w:r>
        <w:rPr>
          <w:rFonts w:eastAsia="Arial"/>
          <w:bCs/>
          <w:sz w:val="28"/>
          <w:szCs w:val="28"/>
          <w:highlight w:val="white"/>
        </w:rPr>
      </w:r>
      <w:r>
        <w:rPr>
          <w:rFonts w:eastAsia="Arial"/>
          <w:bCs/>
          <w:sz w:val="28"/>
          <w:szCs w:val="28"/>
          <w:highlight w:val="white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1) выписку из Единого государственного реестра юридических лиц, выданную налоговым органом не ранее чем за 15 календарных дней до даты представления в </w:t>
      </w:r>
      <w:r>
        <w:rPr>
          <w:bCs/>
          <w:sz w:val="28"/>
          <w:szCs w:val="28"/>
        </w:rPr>
        <w:t xml:space="preserve">уполномоченный орган</w:t>
      </w:r>
      <w:r>
        <w:rPr>
          <w:rFonts w:eastAsia="Arial"/>
          <w:bCs/>
          <w:sz w:val="28"/>
          <w:szCs w:val="28"/>
          <w:lang w:bidi="ru-RU"/>
        </w:rPr>
        <w:t xml:space="preserve"> заявления (для правообладателей 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bidi="ru-RU"/>
        </w:rPr>
        <w:t xml:space="preserve">–</w:t>
      </w:r>
      <w:r>
        <w:rPr>
          <w:rFonts w:eastAsia="Arial"/>
          <w:bCs/>
          <w:sz w:val="28"/>
          <w:szCs w:val="28"/>
          <w:lang w:bidi="ru-RU"/>
        </w:rPr>
        <w:t xml:space="preserve"> юридических лиц);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2) копии выписок из Единого государственного реестра недвижимости на земельные участки и (или) расположенные на них объекты недвижимого имущества, </w:t>
      </w:r>
      <w:r>
        <w:rPr>
          <w:sz w:val="28"/>
          <w:szCs w:val="28"/>
        </w:rPr>
        <w:t xml:space="preserve">полученные в Управлении Федеральной службы государственной регистрации, кадастра и картографии по Новосибирской области не ранее тридцати дней до даты направления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уполномоченный 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rFonts w:eastAsia="Arial"/>
          <w:bCs/>
          <w:sz w:val="28"/>
          <w:szCs w:val="28"/>
          <w:lang w:bidi="ru-RU"/>
        </w:rPr>
        <w:t xml:space="preserve">.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ind w:firstLine="709"/>
        <w:jc w:val="both"/>
        <w:rPr>
          <w:rFonts w:eastAsia="Arial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bCs/>
          <w:sz w:val="28"/>
          <w:szCs w:val="28"/>
          <w:lang w:bidi="ru-RU"/>
        </w:rPr>
        <w:t xml:space="preserve">В случае если правообладателями не представлены по собственной инициативе копии документов, предусмотренных настоящим пунктом, </w:t>
      </w:r>
      <w:r>
        <w:rPr>
          <w:bCs/>
          <w:sz w:val="28"/>
          <w:szCs w:val="28"/>
        </w:rPr>
        <w:t xml:space="preserve">уполномоченный орган</w:t>
      </w:r>
      <w:r>
        <w:rPr>
          <w:rFonts w:eastAsia="Arial"/>
          <w:bCs/>
          <w:sz w:val="28"/>
          <w:szCs w:val="28"/>
          <w:lang w:bidi="ru-RU"/>
        </w:rPr>
        <w:t xml:space="preserve"> в течение трех рабочих дней со дня получения заявления и документов, предусмотренных </w:t>
      </w:r>
      <w:r>
        <w:rPr>
          <w:rFonts w:eastAsia="Arial"/>
          <w:bCs/>
          <w:sz w:val="28"/>
          <w:szCs w:val="28"/>
          <w:lang w:bidi="ru-RU"/>
        </w:rPr>
        <w:t xml:space="preserve">пунктом</w:t>
      </w:r>
      <w:r>
        <w:rPr>
          <w:rFonts w:eastAsia="Arial"/>
          <w:bCs/>
          <w:sz w:val="28"/>
          <w:szCs w:val="28"/>
          <w:lang w:bidi="ru-RU"/>
        </w:rPr>
        <w:t xml:space="preserve"> 2 настоящего Порядк</w:t>
      </w:r>
      <w:r>
        <w:rPr>
          <w:rFonts w:eastAsia="Arial"/>
          <w:bCs/>
          <w:sz w:val="28"/>
          <w:szCs w:val="28"/>
          <w:lang w:bidi="ru-RU"/>
        </w:rPr>
        <w:t xml:space="preserve">а, посредством межведомственного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информационного взаимодействия</w:t>
      </w:r>
      <w:r>
        <w:rPr>
          <w:rFonts w:eastAsia="Arial"/>
          <w:bCs/>
          <w:sz w:val="28"/>
          <w:szCs w:val="28"/>
          <w:lang w:bidi="ru-RU"/>
        </w:rPr>
        <w:t xml:space="preserve"> запрашивает соответствующие сведения в Управлении Федеральной налоговой службы по Новосибирской области и в Управлении Федеральной службы государственной регистрации, кадастра и картографии по Новосибирской области.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4. Заявитель имеет право по собственной инициативе в течение семи рабочих дней со дня поступления заявления в уполномоченный орган представить дополнительные документы и материалы, не предусмотренные пунктом 2 настоящего </w:t>
      </w:r>
      <w:r>
        <w:rPr>
          <w:rFonts w:eastAsia="Arial"/>
          <w:bCs/>
          <w:sz w:val="28"/>
          <w:szCs w:val="28"/>
          <w:lang w:bidi="ru-RU"/>
        </w:rPr>
        <w:t xml:space="preserve">Порядка</w:t>
      </w:r>
      <w:r>
        <w:rPr>
          <w:rFonts w:eastAsia="Arial"/>
          <w:bCs/>
          <w:sz w:val="28"/>
          <w:szCs w:val="28"/>
          <w:lang w:bidi="ru-RU"/>
        </w:rPr>
        <w:t xml:space="preserve">.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/>
      <w:bookmarkStart w:id="7" w:name="undefined"/>
      <w:r/>
      <w:bookmarkEnd w:id="7"/>
      <w:r>
        <w:rPr>
          <w:rFonts w:eastAsia="Arial"/>
          <w:bCs/>
          <w:sz w:val="28"/>
          <w:szCs w:val="28"/>
          <w:lang w:bidi="ru-RU"/>
        </w:rPr>
        <w:t xml:space="preserve">5. Уполномоченный орган в течение десяти рабочих дней со дня поступления заявления отказывает в его рассмотрении с указанием причин отказа в следующих случаях: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содержани</w:t>
      </w:r>
      <w:r>
        <w:rPr>
          <w:rFonts w:eastAsia="Arial"/>
          <w:bCs/>
          <w:sz w:val="28"/>
          <w:szCs w:val="28"/>
          <w:lang w:bidi="ru-RU"/>
        </w:rPr>
        <w:t xml:space="preserve">е</w:t>
      </w:r>
      <w:r>
        <w:rPr>
          <w:rFonts w:eastAsia="Arial"/>
          <w:bCs/>
          <w:sz w:val="28"/>
          <w:szCs w:val="28"/>
          <w:lang w:bidi="ru-RU"/>
        </w:rPr>
        <w:t xml:space="preserve"> заявления</w:t>
      </w:r>
      <w:r>
        <w:rPr>
          <w:rFonts w:eastAsia="Arial"/>
          <w:bCs/>
          <w:sz w:val="28"/>
          <w:szCs w:val="28"/>
          <w:lang w:bidi="ru-RU"/>
        </w:rPr>
        <w:t xml:space="preserve"> не соответствует требованиям настоящего Порядка</w:t>
      </w:r>
      <w:r>
        <w:rPr>
          <w:rFonts w:eastAsia="Arial"/>
          <w:bCs/>
          <w:sz w:val="28"/>
          <w:szCs w:val="28"/>
          <w:lang w:bidi="ru-RU"/>
        </w:rPr>
        <w:t xml:space="preserve">;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 к заявлению </w:t>
      </w:r>
      <w:r>
        <w:rPr>
          <w:rFonts w:eastAsia="Arial"/>
          <w:bCs/>
          <w:sz w:val="28"/>
          <w:szCs w:val="28"/>
          <w:lang w:bidi="ru-RU"/>
        </w:rPr>
        <w:t xml:space="preserve">не приложены (приложены не в полном объеме) </w:t>
      </w:r>
      <w:r>
        <w:rPr>
          <w:rFonts w:eastAsia="Arial"/>
          <w:bCs/>
          <w:sz w:val="28"/>
          <w:szCs w:val="28"/>
          <w:lang w:bidi="ru-RU"/>
        </w:rPr>
        <w:t xml:space="preserve">документ</w:t>
      </w:r>
      <w:r>
        <w:rPr>
          <w:rFonts w:eastAsia="Arial"/>
          <w:bCs/>
          <w:sz w:val="28"/>
          <w:szCs w:val="28"/>
          <w:lang w:bidi="ru-RU"/>
        </w:rPr>
        <w:t xml:space="preserve">ы</w:t>
      </w:r>
      <w:r>
        <w:rPr>
          <w:rFonts w:eastAsia="Arial"/>
          <w:bCs/>
          <w:sz w:val="28"/>
          <w:szCs w:val="28"/>
          <w:lang w:bidi="ru-RU"/>
        </w:rPr>
        <w:t xml:space="preserve"> и материал</w:t>
      </w:r>
      <w:r>
        <w:rPr>
          <w:rFonts w:eastAsia="Arial"/>
          <w:bCs/>
          <w:sz w:val="28"/>
          <w:szCs w:val="28"/>
          <w:lang w:bidi="ru-RU"/>
        </w:rPr>
        <w:t xml:space="preserve">ы</w:t>
      </w:r>
      <w:r>
        <w:rPr>
          <w:rFonts w:eastAsia="Arial"/>
          <w:bCs/>
          <w:sz w:val="28"/>
          <w:szCs w:val="28"/>
          <w:lang w:bidi="ru-RU"/>
        </w:rPr>
        <w:t xml:space="preserve">, указанных в </w:t>
      </w:r>
      <w:r>
        <w:rPr>
          <w:rFonts w:eastAsia="Arial"/>
          <w:bCs/>
          <w:sz w:val="28"/>
          <w:szCs w:val="28"/>
          <w:lang w:bidi="ru-RU"/>
        </w:rPr>
        <w:t xml:space="preserve">пункте</w:t>
      </w:r>
      <w:r>
        <w:rPr>
          <w:rFonts w:eastAsia="Arial"/>
          <w:bCs/>
          <w:sz w:val="28"/>
          <w:szCs w:val="28"/>
          <w:lang w:bidi="ru-RU"/>
        </w:rPr>
        <w:t xml:space="preserve"> 2 настоящего Порядка (в случае если представление таких документов является для заявителя обязательным);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представление документов, содержащих противоречивые сведения, незаверенные исправления, подчистки, помарки;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представление документов, текст которых не поддается прочтению;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bidi="ru-RU"/>
        </w:rPr>
        <w:t xml:space="preserve">несоответствие приложенных к заявлению документов их содержанию, описанному </w:t>
      </w:r>
      <w:r>
        <w:rPr>
          <w:rFonts w:eastAsia="Arial"/>
          <w:bCs/>
          <w:sz w:val="28"/>
          <w:szCs w:val="28"/>
          <w:lang w:bidi="ru-RU"/>
        </w:rPr>
        <w:t xml:space="preserve">пункте</w:t>
      </w:r>
      <w:r>
        <w:rPr>
          <w:rFonts w:eastAsia="Arial"/>
          <w:bCs/>
          <w:sz w:val="28"/>
          <w:szCs w:val="28"/>
          <w:lang w:bidi="ru-RU"/>
        </w:rPr>
        <w:t xml:space="preserve"> 2 настоящего Порядка;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rFonts w:eastAsia="Arial"/>
          <w:bCs/>
          <w:sz w:val="28"/>
          <w:szCs w:val="28"/>
          <w:lang w:bidi="ru-RU"/>
        </w:rPr>
      </w:pPr>
      <w:r>
        <w:rPr>
          <w:rFonts w:eastAsia="Arial"/>
          <w:bCs/>
          <w:sz w:val="28"/>
          <w:szCs w:val="28"/>
          <w:lang w:bidi="ru-RU"/>
        </w:rPr>
        <w:t xml:space="preserve">расчет потребнос</w:t>
      </w:r>
      <w:r>
        <w:rPr>
          <w:rFonts w:eastAsia="Arial"/>
          <w:bCs/>
          <w:sz w:val="28"/>
          <w:szCs w:val="28"/>
          <w:lang w:bidi="ru-RU"/>
        </w:rPr>
        <w:t xml:space="preserve">ти территории комплексного развития в объектах социальной инфраструктуры, указанный в подпункте 9 пункта 2 настоящего Порядка, не соответствует региональным (для объектов регионального значения) и (или) местным нормативам градостроительного проектирования;</w:t>
      </w:r>
      <w:r>
        <w:rPr>
          <w:rFonts w:eastAsia="Arial"/>
          <w:bCs/>
          <w:sz w:val="28"/>
          <w:szCs w:val="28"/>
          <w:lang w:bidi="ru-RU"/>
        </w:rPr>
      </w:r>
      <w:r>
        <w:rPr>
          <w:rFonts w:eastAsia="Arial"/>
          <w:bCs/>
          <w:sz w:val="28"/>
          <w:szCs w:val="28"/>
          <w:lang w:bidi="ru-RU"/>
        </w:rPr>
      </w:r>
    </w:p>
    <w:p>
      <w:pPr>
        <w:ind w:firstLine="709"/>
        <w:jc w:val="both"/>
        <w:rPr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заключение договора о комплексном развитии территории не относится к полномочиям уполномоченного органа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  <w:highlight w:val="green"/>
        </w:rPr>
      </w:pPr>
      <w:r>
        <w:rPr>
          <w:sz w:val="28"/>
          <w:szCs w:val="28"/>
        </w:rPr>
        <w:t xml:space="preserve">6. </w:t>
      </w:r>
      <w:r>
        <w:rPr>
          <w:bCs/>
          <w:sz w:val="28"/>
          <w:szCs w:val="28"/>
        </w:rPr>
        <w:t xml:space="preserve">Уполномоченный орган </w:t>
      </w:r>
      <w:r>
        <w:rPr>
          <w:sz w:val="28"/>
          <w:szCs w:val="28"/>
        </w:rPr>
        <w:t xml:space="preserve">в срок не более </w:t>
      </w:r>
      <w:r>
        <w:rPr>
          <w:bCs/>
          <w:sz w:val="28"/>
          <w:szCs w:val="28"/>
        </w:rPr>
        <w:t xml:space="preserve">40</w:t>
      </w:r>
      <w:r>
        <w:rPr>
          <w:sz w:val="28"/>
          <w:szCs w:val="28"/>
        </w:rPr>
        <w:t xml:space="preserve"> рабочих дней</w:t>
      </w:r>
      <w:r>
        <w:rPr>
          <w:bCs/>
          <w:sz w:val="28"/>
          <w:szCs w:val="28"/>
        </w:rPr>
        <w:t xml:space="preserve"> с момента истечения десяти </w:t>
      </w:r>
      <w:r>
        <w:rPr>
          <w:bCs/>
          <w:sz w:val="28"/>
          <w:szCs w:val="28"/>
        </w:rPr>
        <w:t xml:space="preserve">рабочих дней после даты поступления заявления, в случае, если на заявление не направлен отказ в рассмотрении в соответствии с пунктом 5 настоящего Порядка, </w:t>
      </w:r>
      <w:r>
        <w:rPr>
          <w:sz w:val="28"/>
          <w:szCs w:val="28"/>
        </w:rPr>
        <w:t xml:space="preserve">рассматривает представленные документы и материалы, </w:t>
      </w:r>
      <w:r>
        <w:rPr>
          <w:bCs/>
          <w:sz w:val="28"/>
          <w:szCs w:val="28"/>
        </w:rPr>
        <w:t xml:space="preserve">формирует существенные условия договора </w:t>
      </w:r>
      <w:r>
        <w:rPr>
          <w:sz w:val="28"/>
          <w:szCs w:val="28"/>
        </w:rPr>
        <w:t xml:space="preserve">и принимает решение </w:t>
      </w:r>
      <w:r>
        <w:rPr>
          <w:bCs/>
          <w:sz w:val="28"/>
          <w:szCs w:val="28"/>
        </w:rPr>
        <w:t xml:space="preserve">о заключении договора или уведомляет </w:t>
      </w:r>
      <w:r>
        <w:rPr>
          <w:bCs/>
          <w:sz w:val="28"/>
          <w:szCs w:val="28"/>
        </w:rPr>
        <w:t xml:space="preserve">правообладателей об </w:t>
      </w:r>
      <w:r>
        <w:rPr>
          <w:bCs/>
          <w:sz w:val="28"/>
          <w:szCs w:val="28"/>
          <w:highlight w:val="white"/>
        </w:rPr>
        <w:t xml:space="preserve">отказе в заключении договора с указанием одного или нескольких оснований для отказа, установленных пунктом 13 настоящего Порядка.</w:t>
      </w:r>
      <w:r>
        <w:rPr>
          <w:bCs/>
          <w:sz w:val="28"/>
          <w:szCs w:val="28"/>
          <w:highlight w:val="green"/>
        </w:rPr>
      </w:r>
      <w:r>
        <w:rPr>
          <w:bCs/>
          <w:sz w:val="28"/>
          <w:szCs w:val="28"/>
          <w:highlight w:val="green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bCs/>
          <w:sz w:val="28"/>
          <w:szCs w:val="28"/>
        </w:rPr>
        <w:t xml:space="preserve">В указанный срок уполномоченный орган вправе проводить с правообладателями переговоры по вопросу заключения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bCs/>
          <w:sz w:val="28"/>
          <w:szCs w:val="28"/>
        </w:rPr>
        <w:t xml:space="preserve">7. В любое время до принятия уполномоченным органом решения заявление может быть отозвано по письменному обращению, подписанному всеми заявителями, которые подписали заявление.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 Уполномоченный орган в срок не более 20 рабочих дней, с даты пост</w:t>
      </w:r>
      <w:r>
        <w:rPr>
          <w:bCs/>
          <w:sz w:val="28"/>
          <w:szCs w:val="28"/>
        </w:rPr>
        <w:t xml:space="preserve">упле</w:t>
      </w:r>
      <w:r>
        <w:rPr>
          <w:bCs/>
          <w:sz w:val="28"/>
          <w:szCs w:val="28"/>
        </w:rPr>
        <w:t xml:space="preserve">ния заявления в случае, если на заявление не направлен отказ в рассмотрении в соответствии с пунктом 5 настоящего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Порядка, направляет на согласование в министерство строительств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Новосибирской области заявление и приложенные к нему документы и материалы, </w:t>
      </w:r>
      <w:r>
        <w:rPr>
          <w:bCs/>
          <w:sz w:val="28"/>
          <w:szCs w:val="28"/>
        </w:rPr>
        <w:t xml:space="preserve">а также пояснительную записку, в которой отображена информация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планируемых к созданию объектах инфраструктуры, а также об источниках их финансирования, в рамках договора о комплексном развитии территории;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обес</w:t>
      </w:r>
      <w:r>
        <w:rPr>
          <w:bCs/>
          <w:sz w:val="28"/>
          <w:szCs w:val="28"/>
        </w:rPr>
        <w:t xml:space="preserve">печении территории комплексного развития инфраструктурой за счет существующих и (или) необходимых к строительству и (или) реконструкции объектов федерального, регионального и местного значения (а том числе объектов спорта, пунктов полиции и пожарных депо);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rFonts w:eastAsia="Arial"/>
          <w:bCs/>
          <w:sz w:val="28"/>
          <w:szCs w:val="28"/>
        </w:rPr>
      </w:pPr>
      <w:r>
        <w:rPr>
          <w:bCs/>
          <w:sz w:val="28"/>
          <w:szCs w:val="28"/>
        </w:rPr>
        <w:t xml:space="preserve">о планируемом, в соответствии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представленными с заявлением документами присоединении территории комплексного развития к автомобильным дорогам регионального или межрегионального значения.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rFonts w:eastAsia="Arial"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9. </w:t>
      </w:r>
      <w:r>
        <w:rPr>
          <w:bCs/>
          <w:sz w:val="28"/>
          <w:szCs w:val="28"/>
          <w:highlight w:val="white"/>
          <w:lang w:bidi="ru-RU"/>
        </w:rPr>
        <w:t xml:space="preserve">Министерство строительства </w:t>
      </w:r>
      <w:r>
        <w:rPr>
          <w:bCs/>
          <w:sz w:val="28"/>
          <w:szCs w:val="28"/>
          <w:highlight w:val="white"/>
        </w:rPr>
        <w:t xml:space="preserve">Новосибирской области в течение десяти рабочих дней с момента поступления от уполномоченного органа документов и материалов, предусмотренных пунктом 8 настоящего Порядка, 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обеспечивает рассмотрение данных документов и материалов во взаим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одействии с областными исполнительными органами Новосибирской области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, указанными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в 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пункт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е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5 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Порядка согласования с ми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нистерством строительства Новосибирской области проекта решения о комплексном развитии территории жилой застройки, проекта решения о к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омплексном развитии территории нежилой застройки, подготовленных главой местной администрации муниципально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го образования Новосибирской области, утвержденного постановлением Правительства Новосибирской области от 27.07.2021 № 297-п, и направл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яет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письмом в адрес уполномоченного органа мотивированн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ые</w:t>
      </w:r>
      <w:r>
        <w:rPr>
          <w:rFonts w:eastAsia="Arial"/>
          <w:bCs/>
          <w:sz w:val="28"/>
          <w:szCs w:val="28"/>
          <w:highlight w:val="white"/>
          <w:lang w:bidi="ru-RU"/>
        </w:rPr>
        <w:t xml:space="preserve"> рекомендации о заключении или об отказе в заключении договора.</w:t>
      </w:r>
      <w:r>
        <w:rPr>
          <w:rFonts w:eastAsia="Arial"/>
          <w:sz w:val="28"/>
          <w:szCs w:val="28"/>
          <w:highlight w:val="white"/>
        </w:rPr>
      </w:r>
      <w:r>
        <w:rPr>
          <w:rFonts w:eastAsia="Arial"/>
          <w:sz w:val="28"/>
          <w:szCs w:val="28"/>
          <w:highlight w:val="white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 Принятие решения уполномоченным органом о заключении договора подтверждает 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соответствие</w:t>
      </w:r>
      <w:r>
        <w:rPr>
          <w:bCs/>
          <w:sz w:val="28"/>
          <w:szCs w:val="28"/>
        </w:rPr>
        <w:t xml:space="preserve"> т</w:t>
      </w:r>
      <w:r>
        <w:rPr>
          <w:bCs/>
          <w:sz w:val="28"/>
          <w:szCs w:val="28"/>
        </w:rPr>
        <w:t xml:space="preserve">ребованиям, установленным частью 1 статьи 70 Градостроительного кодекса Российской </w:t>
      </w:r>
      <w:r>
        <w:rPr>
          <w:bCs/>
          <w:sz w:val="28"/>
          <w:szCs w:val="28"/>
        </w:rPr>
        <w:t xml:space="preserve">Федерации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  <w:highlight w:val="white"/>
        </w:rPr>
      </w:pPr>
      <w:r>
        <w:rPr>
          <w:rFonts w:eastAsia="Arial"/>
          <w:bCs/>
          <w:sz w:val="28"/>
          <w:szCs w:val="28"/>
        </w:rPr>
        <w:t xml:space="preserve">11</w:t>
      </w:r>
      <w:r>
        <w:rPr>
          <w:rFonts w:eastAsia="Arial"/>
          <w:bCs/>
          <w:sz w:val="28"/>
          <w:szCs w:val="28"/>
          <w:highlight w:val="white"/>
        </w:rPr>
        <w:t xml:space="preserve">. Принятое уполномоченным органом решение о заключении договора </w:t>
      </w:r>
      <w:r>
        <w:rPr>
          <w:rFonts w:eastAsia="Arial"/>
          <w:bCs/>
          <w:sz w:val="28"/>
          <w:szCs w:val="28"/>
          <w:highlight w:val="white"/>
        </w:rPr>
        <w:t xml:space="preserve">направляется правообладателям не позднее десяти рабочих дней со дня его принятия по адресу и способом, указанным в заявлении.</w:t>
      </w:r>
      <w:r>
        <w:rPr>
          <w:rFonts w:eastAsia="Arial"/>
          <w:bCs/>
          <w:sz w:val="28"/>
          <w:szCs w:val="28"/>
          <w:highlight w:val="white"/>
        </w:rPr>
      </w:r>
      <w:r>
        <w:rPr>
          <w:rFonts w:eastAsia="Arial"/>
          <w:bCs/>
          <w:sz w:val="28"/>
          <w:szCs w:val="28"/>
          <w:highlight w:val="white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  <w:highlight w:val="white"/>
        </w:rPr>
        <w:t xml:space="preserve">Решение о заключении договора направляется одновременно с подписанным в двух экземплярах проектом договора.</w:t>
      </w:r>
      <w:r>
        <w:rPr>
          <w:rFonts w:eastAsia="Arial"/>
          <w:bCs/>
          <w:sz w:val="28"/>
          <w:szCs w:val="28"/>
        </w:rPr>
      </w:r>
      <w:r>
        <w:rPr>
          <w:rFonts w:eastAsia="Arial"/>
          <w:bCs/>
          <w:sz w:val="28"/>
          <w:szCs w:val="28"/>
        </w:rPr>
      </w:r>
    </w:p>
    <w:p>
      <w:pPr>
        <w:pStyle w:val="891"/>
        <w:ind w:firstLine="709"/>
        <w:jc w:val="both"/>
        <w:rPr>
          <w:rFonts w:eastAsia="Arial"/>
          <w:bCs/>
          <w:sz w:val="28"/>
          <w:szCs w:val="28"/>
          <w:highlight w:val="white"/>
        </w:rPr>
      </w:pPr>
      <w:r>
        <w:rPr>
          <w:rFonts w:eastAsia="Arial"/>
          <w:bCs/>
          <w:sz w:val="28"/>
          <w:szCs w:val="28"/>
        </w:rPr>
        <w:t xml:space="preserve">12. </w:t>
      </w:r>
      <w:r>
        <w:rPr>
          <w:rFonts w:eastAsia="Arial"/>
          <w:bCs/>
          <w:sz w:val="28"/>
          <w:szCs w:val="28"/>
          <w:highlight w:val="white"/>
        </w:rPr>
        <w:t xml:space="preserve">В случае наличия оснований для отказа в заключени</w:t>
      </w:r>
      <w:r>
        <w:rPr>
          <w:rFonts w:eastAsia="Arial"/>
          <w:bCs/>
          <w:sz w:val="28"/>
          <w:szCs w:val="28"/>
          <w:highlight w:val="white"/>
        </w:rPr>
        <w:t xml:space="preserve">и договора, установленных </w:t>
      </w:r>
      <w:r>
        <w:rPr>
          <w:rFonts w:eastAsia="Arial"/>
          <w:bCs/>
          <w:sz w:val="28"/>
          <w:szCs w:val="28"/>
          <w:highlight w:val="white"/>
        </w:rPr>
        <w:t xml:space="preserve">в </w:t>
      </w:r>
      <w:r>
        <w:rPr>
          <w:rFonts w:eastAsia="Arial"/>
          <w:bCs/>
          <w:sz w:val="28"/>
          <w:szCs w:val="28"/>
          <w:highlight w:val="white"/>
        </w:rPr>
        <w:t xml:space="preserve">пункте 13 настоящего Порядка, уполномоченный орган направляет правообладателям уведомление об отказе в заключении договора, которое должно содержать одно или несколько оснований для отказа, указанных в пункте 13 настоящего Порядка</w:t>
      </w:r>
      <w:r>
        <w:rPr>
          <w:rFonts w:eastAsia="Arial"/>
          <w:bCs/>
          <w:sz w:val="28"/>
          <w:szCs w:val="28"/>
        </w:rPr>
        <w:t xml:space="preserve">.</w:t>
      </w:r>
      <w:r>
        <w:rPr>
          <w:rFonts w:eastAsia="Arial"/>
          <w:bCs/>
          <w:sz w:val="28"/>
          <w:szCs w:val="28"/>
          <w:highlight w:val="white"/>
        </w:rPr>
      </w:r>
      <w:r>
        <w:rPr>
          <w:rFonts w:eastAsia="Arial"/>
          <w:bCs/>
          <w:sz w:val="28"/>
          <w:szCs w:val="28"/>
          <w:highlight w:val="white"/>
        </w:rPr>
      </w:r>
    </w:p>
    <w:p>
      <w:pPr>
        <w:pStyle w:val="891"/>
        <w:ind w:firstLine="709"/>
        <w:jc w:val="both"/>
        <w:shd w:val="clear" w:color="ffffff" w:themeColor="background1" w:fill="ffffff" w:themeFill="background1"/>
        <w:rPr>
          <w:bCs/>
          <w:sz w:val="28"/>
          <w:szCs w:val="28"/>
        </w:rPr>
      </w:pPr>
      <w:r>
        <w:rPr>
          <w:sz w:val="28"/>
          <w:szCs w:val="28"/>
        </w:rPr>
        <w:t xml:space="preserve">13. </w:t>
      </w:r>
      <w:r>
        <w:rPr>
          <w:rFonts w:eastAsia="Arial"/>
          <w:bCs/>
          <w:sz w:val="28"/>
          <w:szCs w:val="28"/>
          <w:lang w:bidi="ru-RU"/>
        </w:rPr>
        <w:t xml:space="preserve">Основаниями для отказа в заключении договора являются: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несоответствие документов и материалов, приложенных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 заявлению, законодательству Российской Федерации, закон</w:t>
      </w:r>
      <w:r>
        <w:rPr>
          <w:bCs/>
          <w:sz w:val="28"/>
          <w:szCs w:val="28"/>
        </w:rPr>
        <w:t xml:space="preserve">одательству Новосибирской области (за исключением несоответствия градостроительной документации муниципальных образований Новосибирской области и принятых в ее развитие программ комплексного развития коммунальной, транспортной и социальной инфраструктуры);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несоответствие архитектурно-градостроительной концепции развития территории, представленной заявителем, утвержденным документам территориального планирования Российской Федерации, Новосибирской области;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включение в соответствии с архитектурно-градостроительной концепцией развития территории, представленной заявителем, в границы комплексного развития территории земель лесного фонда и городских лесов, предлагаемых к застройке;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 отсутствие прав на земельные участки и (или)</w:t>
      </w:r>
      <w:r>
        <w:rPr>
          <w:bCs/>
          <w:sz w:val="28"/>
          <w:szCs w:val="28"/>
        </w:rPr>
        <w:t xml:space="preserve"> расположенные на них объекты недвижимости (права собственности, права аренды либо безвозмездного пользования) у заявителей, либо если срок действия их прав на земельный участок (земельные участки) составляет на день заключения договора менее чем пять лет;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5) несоответствие соглашения о разграничении обязанностей по осуществле</w:t>
      </w:r>
      <w:r>
        <w:rPr>
          <w:bCs/>
          <w:sz w:val="28"/>
          <w:szCs w:val="28"/>
        </w:rPr>
        <w:t xml:space="preserve">нию мероприятий по комплексному развитию территории по инициативе правообладателей, представленного в случае если комплексное развитие территории по инициативе правообладателей осуществляется двумя и более правообладателями, требованиям Градостроительного </w:t>
      </w:r>
      <w:hyperlink r:id="rId18" w:tooltip="http://10.12.1.46/cons/cgi/online.cgi?req=doc&amp;base=LAW&amp;n=481298&amp;date=19.03.2025" w:history="1">
        <w:r>
          <w:rPr>
            <w:rStyle w:val="873"/>
            <w:bCs/>
            <w:color w:val="auto"/>
            <w:sz w:val="28"/>
            <w:szCs w:val="28"/>
            <w:u w:val="none"/>
          </w:rPr>
          <w:t xml:space="preserve">кодекса</w:t>
        </w:r>
      </w:hyperlink>
      <w:r>
        <w:rPr>
          <w:bCs/>
          <w:sz w:val="28"/>
          <w:szCs w:val="28"/>
        </w:rPr>
        <w:t xml:space="preserve"> Российской Федерации;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6) в соответствии с архитектурно-градостроительной концепци</w:t>
      </w:r>
      <w:r>
        <w:rPr>
          <w:bCs/>
          <w:sz w:val="28"/>
          <w:szCs w:val="28"/>
        </w:rPr>
        <w:t xml:space="preserve">ей развития территории, представленной заявителем, в границы территории комплексного развития, в отношении которой подано </w:t>
      </w:r>
      <w:r>
        <w:rPr>
          <w:bCs/>
          <w:sz w:val="28"/>
          <w:szCs w:val="28"/>
        </w:rPr>
        <w:t xml:space="preserve">заявление</w:t>
      </w:r>
      <w:r>
        <w:rPr>
          <w:bCs/>
          <w:sz w:val="28"/>
          <w:szCs w:val="28"/>
        </w:rPr>
        <w:t xml:space="preserve"> о комплексном развитии территории, входят земельные участки, зарезервированные для государственных или муниципальных нужд;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7) обязательства по созданию объектов транспортной, инженерной и социальной инфраструктур, которые заявитель предлагает  возложить на орган местного самоуправления не предусмотрены муниципальными правовыми актами за счет средств местного бюджета или не под</w:t>
      </w:r>
      <w:r>
        <w:rPr>
          <w:bCs/>
          <w:sz w:val="28"/>
          <w:szCs w:val="28"/>
        </w:rPr>
        <w:t xml:space="preserve">тверждены письмами Губернатора Новосибирской области (заместителя Губернатора Новосибирской области), либо Председателя Правительства Новосибирской области (заместителя Председателя Правительства Новосибирской области в соответствии с установленным Губерна</w:t>
      </w:r>
      <w:r>
        <w:rPr>
          <w:bCs/>
          <w:sz w:val="28"/>
          <w:szCs w:val="28"/>
        </w:rPr>
        <w:t xml:space="preserve">тором Новосибирской области распределением обязанностей), главой местной администрации </w:t>
      </w:r>
      <w:r>
        <w:rPr>
          <w:sz w:val="28"/>
          <w:szCs w:val="28"/>
        </w:rPr>
        <w:t xml:space="preserve">о возможности финансирования обязательств за счет средств областного (федерального) бюджета, или письмом главы местной администрации о возможности финансирования обязательств за счет средств местного бюджета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8) наличие на момент подачи </w:t>
      </w:r>
      <w:r>
        <w:rPr>
          <w:bCs/>
          <w:sz w:val="28"/>
          <w:szCs w:val="28"/>
        </w:rPr>
        <w:t xml:space="preserve">заявления</w:t>
      </w:r>
      <w:r>
        <w:rPr>
          <w:bCs/>
          <w:sz w:val="28"/>
          <w:szCs w:val="28"/>
        </w:rPr>
        <w:t xml:space="preserve"> о комплексном развитии территории по инициативе правообладателей решения о комплексном развитии территории и (или) проекта решения о комплексном </w:t>
      </w:r>
      <w:r>
        <w:rPr>
          <w:bCs/>
          <w:sz w:val="28"/>
          <w:szCs w:val="28"/>
        </w:rPr>
        <w:t xml:space="preserve">развитии территории, в границах которой располагаются принадлежащие правообладателям земельные участки и (или) объекты недвижимого имущества, указанные в документах и материалах, представленных в целях заключения договора о комплексном развитии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9) несоответствие </w:t>
      </w:r>
      <w:r>
        <w:rPr>
          <w:sz w:val="28"/>
          <w:szCs w:val="28"/>
        </w:rPr>
        <w:t xml:space="preserve">архитектурно-градостроительной концепции развития территории требованиям по организации дорожного движения 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10) наличие рекомендации министерства строительства Новосибирской области об отказе в заключении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</w:t>
      </w:r>
      <w:r>
        <w:rPr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Правообладатели</w:t>
      </w:r>
      <w:r>
        <w:rPr>
          <w:sz w:val="28"/>
          <w:szCs w:val="28"/>
        </w:rPr>
        <w:t xml:space="preserve"> в течение 15 рабочих дней с момента получения проекта договора, направленного уполномоченным органом, подписывают проект договора и направляют два его экземпляра в </w:t>
      </w:r>
      <w:r>
        <w:rPr>
          <w:bCs/>
          <w:sz w:val="28"/>
          <w:szCs w:val="28"/>
        </w:rPr>
        <w:t xml:space="preserve">уполномоченный орган или протокол разногласий</w:t>
      </w:r>
      <w:r>
        <w:rPr>
          <w:bCs/>
          <w:sz w:val="28"/>
          <w:szCs w:val="28"/>
        </w:rPr>
        <w:t xml:space="preserve"> к проекту договора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15.</w:t>
      </w:r>
      <w:r>
        <w:rPr>
          <w:sz w:val="28"/>
          <w:szCs w:val="28"/>
        </w:rPr>
        <w:t xml:space="preserve"> Со дня поступления подписанного договора в </w:t>
      </w:r>
      <w:r>
        <w:rPr>
          <w:bCs/>
          <w:sz w:val="28"/>
          <w:szCs w:val="28"/>
        </w:rPr>
        <w:t xml:space="preserve">уполномоченный орган</w:t>
      </w:r>
      <w:r>
        <w:rPr>
          <w:sz w:val="28"/>
          <w:szCs w:val="28"/>
        </w:rPr>
        <w:t xml:space="preserve"> договор считается заключенным.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</w:t>
      </w:r>
      <w:r>
        <w:rPr>
          <w:sz w:val="28"/>
          <w:szCs w:val="28"/>
        </w:rPr>
        <w:t xml:space="preserve">. В случае не направления правообладателями в уполномоченный орган экземпляров подписанного проекта договора или протокола разногласий</w:t>
      </w:r>
      <w:r>
        <w:rPr>
          <w:sz w:val="28"/>
          <w:szCs w:val="28"/>
        </w:rPr>
        <w:t xml:space="preserve"> к проекту договора</w:t>
      </w:r>
      <w:r>
        <w:rPr>
          <w:sz w:val="28"/>
          <w:szCs w:val="28"/>
        </w:rPr>
        <w:t xml:space="preserve"> в установленный срок, такой договор считается не заключенным.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trike/>
          <w:sz w:val="28"/>
          <w:szCs w:val="28"/>
        </w:rPr>
      </w:pPr>
      <w:r>
        <w:rPr>
          <w:bCs/>
          <w:sz w:val="28"/>
          <w:szCs w:val="28"/>
        </w:rPr>
        <w:t xml:space="preserve">17. Пр</w:t>
      </w:r>
      <w:r>
        <w:rPr>
          <w:bCs/>
          <w:sz w:val="28"/>
          <w:szCs w:val="28"/>
        </w:rPr>
        <w:t xml:space="preserve">и направлении протокола разногласий</w:t>
      </w:r>
      <w:r>
        <w:rPr>
          <w:bCs/>
          <w:sz w:val="28"/>
          <w:szCs w:val="28"/>
        </w:rPr>
        <w:t xml:space="preserve"> к проекту протокола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орган</w:t>
      </w:r>
      <w:r>
        <w:rPr>
          <w:bCs/>
          <w:sz w:val="28"/>
          <w:szCs w:val="28"/>
        </w:rPr>
        <w:t xml:space="preserve"> в течение 15 рабочих дней с момента его получения рассматривает его и вносит в проект договора изменения, в случае согласия с направленными разногласиями.</w:t>
      </w:r>
      <w:r>
        <w:rPr>
          <w:bCs/>
          <w:strike/>
          <w:sz w:val="28"/>
          <w:szCs w:val="28"/>
        </w:rPr>
      </w:r>
      <w:r>
        <w:rPr>
          <w:bCs/>
          <w:strike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несогласия с информацией, изложенной в протоколе разногласий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проекту договора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орган</w:t>
      </w:r>
      <w:r>
        <w:rPr>
          <w:bCs/>
          <w:sz w:val="28"/>
          <w:szCs w:val="28"/>
        </w:rPr>
        <w:t xml:space="preserve"> направляет правообладателю уведомление об отклонении предложений, изложенных в протоколе разногласий</w:t>
      </w:r>
      <w:r>
        <w:rPr>
          <w:bCs/>
          <w:sz w:val="28"/>
          <w:szCs w:val="28"/>
        </w:rPr>
        <w:t xml:space="preserve"> к проекту договора</w:t>
      </w:r>
      <w:r>
        <w:rPr>
          <w:bCs/>
          <w:sz w:val="28"/>
          <w:szCs w:val="28"/>
        </w:rPr>
        <w:t xml:space="preserve">, с мотивированной позицией.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Уполномоченный орган</w:t>
      </w:r>
      <w:r>
        <w:rPr>
          <w:bCs/>
          <w:sz w:val="28"/>
          <w:szCs w:val="28"/>
        </w:rPr>
        <w:t xml:space="preserve"> вправе проводить с правообладателями переговоры по протоколу разногласий</w:t>
      </w:r>
      <w:r>
        <w:rPr>
          <w:bCs/>
          <w:sz w:val="28"/>
          <w:szCs w:val="28"/>
        </w:rPr>
        <w:t xml:space="preserve"> к проекту договора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недостижения</w:t>
      </w:r>
      <w:r>
        <w:rPr>
          <w:bCs/>
          <w:sz w:val="28"/>
          <w:szCs w:val="28"/>
        </w:rPr>
        <w:t xml:space="preserve"> между </w:t>
      </w:r>
      <w:r>
        <w:rPr>
          <w:sz w:val="28"/>
          <w:szCs w:val="28"/>
        </w:rPr>
        <w:t xml:space="preserve">уполномоченным орган</w:t>
      </w:r>
      <w:r>
        <w:rPr>
          <w:bCs/>
          <w:sz w:val="28"/>
          <w:szCs w:val="28"/>
        </w:rPr>
        <w:t xml:space="preserve">ом</w:t>
      </w:r>
      <w:r>
        <w:rPr>
          <w:bCs/>
          <w:sz w:val="28"/>
          <w:szCs w:val="28"/>
        </w:rPr>
        <w:t xml:space="preserve"> и правообладателем согласия по протоколу разногласий</w:t>
      </w:r>
      <w:r>
        <w:rPr>
          <w:bCs/>
          <w:sz w:val="28"/>
          <w:szCs w:val="28"/>
        </w:rPr>
        <w:t xml:space="preserve"> к проекту договора</w:t>
      </w:r>
      <w:r>
        <w:rPr>
          <w:bCs/>
          <w:sz w:val="28"/>
          <w:szCs w:val="28"/>
        </w:rPr>
        <w:t xml:space="preserve"> в течение 20 рабочих дней с момента получения </w:t>
      </w:r>
      <w:r>
        <w:rPr>
          <w:sz w:val="28"/>
          <w:szCs w:val="28"/>
        </w:rPr>
        <w:t xml:space="preserve">уполномоченным орган</w:t>
      </w:r>
      <w:r>
        <w:rPr>
          <w:bCs/>
          <w:sz w:val="28"/>
          <w:szCs w:val="28"/>
        </w:rPr>
        <w:t xml:space="preserve">ом</w:t>
      </w:r>
      <w:r>
        <w:rPr>
          <w:bCs/>
          <w:sz w:val="28"/>
          <w:szCs w:val="28"/>
        </w:rPr>
        <w:t xml:space="preserve"> такого протокола, договор считается незаключенным.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3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18. 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Внесение изменений в договор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комплексном развитии территории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 правообладателями земельных участков и (или) расположенных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них объектов недвижимого имущества без проведения торгов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осуществляется посредствам заключения 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ополнительно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соглашени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 договору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комплексном развитии территории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 правообладателями земельных участков и (или) расположенных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них объектов недвижимого имущества без проведения торгов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соответствии с настоящим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орядк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предусмотренном для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заключения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договора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19. Уведомление об отказе в заключении договора (дополнительного соглашения к договору) не препятствует повторному обращению заявителей в уполномоченный орган с заявлением о заключении договора (дополнительного соглашения</w:t>
      </w:r>
      <w:r>
        <w:rPr>
          <w:bCs/>
          <w:sz w:val="28"/>
          <w:szCs w:val="28"/>
        </w:rPr>
        <w:t xml:space="preserve"> к договору</w:t>
      </w:r>
      <w:r>
        <w:rPr>
          <w:bCs/>
          <w:sz w:val="28"/>
          <w:szCs w:val="28"/>
        </w:rPr>
        <w:t xml:space="preserve">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91"/>
      </w:pPr>
      <w:r>
        <w:separator/>
      </w:r>
      <w:r/>
    </w:p>
  </w:endnote>
  <w:endnote w:type="continuationSeparator" w:id="0">
    <w:p>
      <w:pPr>
        <w:pStyle w:val="891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91"/>
      </w:pPr>
      <w:r>
        <w:separator/>
      </w:r>
      <w:r/>
    </w:p>
  </w:footnote>
  <w:footnote w:type="continuationSeparator" w:id="0">
    <w:p>
      <w:pPr>
        <w:pStyle w:val="891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color w:val="auto"/>
      </w:rPr>
    </w:pPr>
    <w:fldSimple w:instr="PAGE \* MERGEFORMAT">
      <w:r>
        <w:t xml:space="preserve">1</w:t>
      </w:r>
    </w:fldSimple>
    <w:r/>
    <w:r>
      <w:rPr>
        <w:color w:val="auto"/>
      </w:rPr>
    </w:r>
    <w:r>
      <w:rPr>
        <w:color w:val="auto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/>
    <w:r/>
  </w:p>
  <w:p>
    <w:pPr>
      <w:pStyle w:val="74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</w:style>
  <w:style w:type="paragraph" w:styleId="693">
    <w:name w:val="Heading 1"/>
    <w:basedOn w:val="692"/>
    <w:next w:val="692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Header Char"/>
    <w:basedOn w:val="702"/>
    <w:uiPriority w:val="99"/>
  </w:style>
  <w:style w:type="character" w:styleId="719" w:customStyle="1">
    <w:name w:val="Caption Char"/>
    <w:uiPriority w:val="99"/>
  </w:style>
  <w:style w:type="character" w:styleId="720" w:customStyle="1">
    <w:name w:val="Footnote Text Char"/>
    <w:uiPriority w:val="99"/>
    <w:rPr>
      <w:sz w:val="18"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link w:val="693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link w:val="694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link w:val="695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692"/>
    <w:uiPriority w:val="34"/>
    <w:qFormat/>
    <w:pPr>
      <w:contextualSpacing/>
      <w:ind w:left="720"/>
    </w:pPr>
  </w:style>
  <w:style w:type="paragraph" w:styleId="732">
    <w:name w:val="No Spacing"/>
    <w:uiPriority w:val="1"/>
    <w:qFormat/>
  </w:style>
  <w:style w:type="paragraph" w:styleId="733">
    <w:name w:val="Title"/>
    <w:basedOn w:val="692"/>
    <w:next w:val="692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Заголовок Знак"/>
    <w:link w:val="733"/>
    <w:uiPriority w:val="10"/>
    <w:rPr>
      <w:sz w:val="48"/>
      <w:szCs w:val="48"/>
    </w:rPr>
  </w:style>
  <w:style w:type="paragraph" w:styleId="735">
    <w:name w:val="Subtitle"/>
    <w:basedOn w:val="692"/>
    <w:next w:val="692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692"/>
    <w:next w:val="692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2"/>
    <w:next w:val="692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2"/>
    <w:link w:val="7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link w:val="741"/>
    <w:uiPriority w:val="99"/>
  </w:style>
  <w:style w:type="paragraph" w:styleId="743">
    <w:name w:val="Footer"/>
    <w:basedOn w:val="692"/>
    <w:link w:val="7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uiPriority w:val="99"/>
  </w:style>
  <w:style w:type="paragraph" w:styleId="745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692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692"/>
    <w:link w:val="878"/>
    <w:uiPriority w:val="99"/>
    <w:semiHidden/>
    <w:unhideWhenUsed/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692"/>
    <w:next w:val="692"/>
    <w:uiPriority w:val="39"/>
    <w:unhideWhenUsed/>
    <w:pPr>
      <w:spacing w:after="57"/>
    </w:pPr>
  </w:style>
  <w:style w:type="paragraph" w:styleId="881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82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83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84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85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86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87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8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692"/>
    <w:next w:val="692"/>
    <w:uiPriority w:val="99"/>
    <w:unhideWhenUsed/>
  </w:style>
  <w:style w:type="paragraph" w:styleId="891" w:customStyle="1">
    <w:name w:val="ConsPlusNormal"/>
    <w:pPr>
      <w:widowControl w:val="off"/>
    </w:pPr>
    <w:rPr>
      <w:sz w:val="24"/>
    </w:rPr>
  </w:style>
  <w:style w:type="paragraph" w:styleId="89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9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94" w:customStyle="1">
    <w:name w:val="ConsPlusCell"/>
    <w:pPr>
      <w:widowControl w:val="off"/>
    </w:pPr>
    <w:rPr>
      <w:rFonts w:ascii="Courier New" w:hAnsi="Courier New" w:cs="Courier New"/>
    </w:rPr>
  </w:style>
  <w:style w:type="paragraph" w:styleId="89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96" w:customStyle="1">
    <w:name w:val="ConsPlusTitlePage"/>
    <w:pPr>
      <w:widowControl w:val="off"/>
    </w:pPr>
    <w:rPr>
      <w:rFonts w:ascii="Tahoma" w:hAnsi="Tahoma" w:cs="Tahoma"/>
    </w:rPr>
  </w:style>
  <w:style w:type="paragraph" w:styleId="89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98" w:customStyle="1">
    <w:name w:val="ConsPlusTextList"/>
    <w:pPr>
      <w:widowControl w:val="off"/>
    </w:pPr>
    <w:rPr>
      <w:sz w:val="24"/>
    </w:rPr>
  </w:style>
  <w:style w:type="paragraph" w:styleId="899" w:customStyle="1">
    <w:name w:val="ConsPlusTextList"/>
    <w:pPr>
      <w:widowControl w:val="off"/>
    </w:pPr>
    <w:rPr>
      <w:sz w:val="24"/>
    </w:rPr>
  </w:style>
  <w:style w:type="paragraph" w:styleId="900">
    <w:name w:val="Balloon Text"/>
    <w:basedOn w:val="692"/>
    <w:link w:val="90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basedOn w:val="702"/>
    <w:link w:val="900"/>
    <w:uiPriority w:val="99"/>
    <w:semiHidden/>
    <w:rPr>
      <w:rFonts w:ascii="Segoe UI" w:hAnsi="Segoe UI" w:cs="Segoe UI"/>
      <w:sz w:val="18"/>
      <w:szCs w:val="18"/>
    </w:rPr>
  </w:style>
  <w:style w:type="paragraph" w:styleId="902">
    <w:name w:val="Normal (Web)"/>
    <w:basedOn w:val="692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3" w:customStyle="1">
    <w:name w:val="no-indent"/>
    <w:basedOn w:val="692"/>
    <w:pPr>
      <w:spacing w:before="100" w:beforeAutospacing="1" w:after="100" w:afterAutospacing="1"/>
    </w:pPr>
    <w:rPr>
      <w:sz w:val="24"/>
      <w:szCs w:val="24"/>
    </w:rPr>
  </w:style>
  <w:style w:type="paragraph" w:styleId="904">
    <w:name w:val="Revision"/>
    <w:hidden/>
    <w:uiPriority w:val="99"/>
    <w:semiHidden/>
  </w:style>
  <w:style w:type="character" w:styleId="905">
    <w:name w:val="annotation reference"/>
    <w:basedOn w:val="702"/>
    <w:uiPriority w:val="99"/>
    <w:semiHidden/>
    <w:unhideWhenUsed/>
    <w:rPr>
      <w:sz w:val="16"/>
      <w:szCs w:val="16"/>
    </w:rPr>
  </w:style>
  <w:style w:type="paragraph" w:styleId="906">
    <w:name w:val="annotation text"/>
    <w:basedOn w:val="692"/>
    <w:link w:val="907"/>
    <w:uiPriority w:val="99"/>
    <w:semiHidden/>
    <w:unhideWhenUsed/>
  </w:style>
  <w:style w:type="character" w:styleId="907" w:customStyle="1">
    <w:name w:val="Текст примечания Знак"/>
    <w:basedOn w:val="702"/>
    <w:link w:val="906"/>
    <w:uiPriority w:val="99"/>
    <w:semiHidden/>
  </w:style>
  <w:style w:type="paragraph" w:styleId="908">
    <w:name w:val="annotation subject"/>
    <w:basedOn w:val="906"/>
    <w:next w:val="906"/>
    <w:link w:val="909"/>
    <w:uiPriority w:val="99"/>
    <w:semiHidden/>
    <w:unhideWhenUsed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10.12.1.46/cons/cgi/online.cgi?req=doc&amp;base=LAW&amp;n=494926&amp;date=05.03.2025&amp;dst=3522&amp;field=134" TargetMode="External"/><Relationship Id="rId13" Type="http://schemas.openxmlformats.org/officeDocument/2006/relationships/hyperlink" Target="https://login.consultant.ru/link/?req=doc&amp;base=LAW&amp;n=382485&amp;dst=100034" TargetMode="External"/><Relationship Id="rId14" Type="http://schemas.openxmlformats.org/officeDocument/2006/relationships/hyperlink" Target="https://login.consultant.ru/link/?req=doc&amp;base=LAW&amp;n=494926&amp;dst=3451" TargetMode="External"/><Relationship Id="rId15" Type="http://schemas.openxmlformats.org/officeDocument/2006/relationships/hyperlink" Target="https://login.consultant.ru/link/?req=doc&amp;base=LAW&amp;n=494926&amp;dst=3525" TargetMode="External"/><Relationship Id="rId16" Type="http://schemas.openxmlformats.org/officeDocument/2006/relationships/hyperlink" Target="https://login.consultant.ru/link/?req=doc&amp;base=LAW&amp;n=494926&amp;dst=3470" TargetMode="External"/><Relationship Id="rId17" Type="http://schemas.openxmlformats.org/officeDocument/2006/relationships/hyperlink" Target="https://login.consultant.ru/link/?req=doc&amp;base=LAW&amp;n=494926&amp;dst=3471" TargetMode="External"/><Relationship Id="rId18" Type="http://schemas.openxmlformats.org/officeDocument/2006/relationships/hyperlink" Target="http://10.12.1.46/cons/cgi/online.cgi?req=doc&amp;base=LAW&amp;n=481298&amp;date=19.03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8A28-53B5-434F-88C8-5E021DA8B5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Новосибирской области от 21.06.2021 N 389
(ред. от 28.12.2024)
"Об определении порядка заключения договора о 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торгов"</dc:title>
  <dc:creator>Савонины</dc:creator>
  <cp:revision>10</cp:revision>
  <dcterms:created xsi:type="dcterms:W3CDTF">2025-04-10T03:31:00Z</dcterms:created>
  <dcterms:modified xsi:type="dcterms:W3CDTF">2025-04-24T10:50:25Z</dcterms:modified>
</cp:coreProperties>
</file>