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0"/>
        <w:ind w:left="5244" w:right="0" w:firstLine="0"/>
        <w:jc w:val="center"/>
        <w:rPr>
          <w:rFonts w:ascii="TimesNewRoman" w:hAnsi="TimesNewRoman" w:cs="TimesNewRoman"/>
          <w:sz w:val="28"/>
          <w:szCs w:val="28"/>
          <w:highlight w:val="none"/>
        </w:rPr>
        <w:outlineLvl w:val="0"/>
      </w:pPr>
      <w:r>
        <w:rPr>
          <w:rFonts w:ascii="TimesNewRoman" w:hAnsi="TimesNewRoman" w:cs="TimesNewRoman"/>
          <w:sz w:val="28"/>
          <w:szCs w:val="28"/>
        </w:rPr>
        <w:t xml:space="preserve">ПРИЛОЖЕНИЕ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80"/>
        <w:ind w:left="5244" w:right="0" w:firstLine="0"/>
        <w:jc w:val="center"/>
        <w:rPr>
          <w:rFonts w:ascii="TimesNewRoman" w:hAnsi="TimesNewRoman" w:cs="TimesNewRoman"/>
          <w:sz w:val="28"/>
          <w:szCs w:val="28"/>
        </w:rPr>
        <w:outlineLvl w:val="0"/>
      </w:pPr>
      <w:r>
        <w:rPr>
          <w:rFonts w:ascii="TimesNewRoman" w:hAnsi="TimesNewRoman" w:cs="TimesNewRoman"/>
          <w:sz w:val="28"/>
          <w:szCs w:val="28"/>
        </w:rPr>
        <w:t xml:space="preserve">к постановлению </w:t>
      </w:r>
      <w:r>
        <w:rPr>
          <w:rFonts w:ascii="TimesNewRoman" w:hAnsi="TimesNewRoman" w:cs="TimesNewRoman"/>
          <w:sz w:val="28"/>
          <w:szCs w:val="28"/>
        </w:rPr>
        <w:t xml:space="preserve">Правительства</w:t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80"/>
        <w:ind w:left="5244" w:right="0" w:firstLine="0"/>
        <w:jc w:val="center"/>
        <w:outlineLvl w:val="0"/>
      </w:pPr>
      <w:r>
        <w:rPr>
          <w:rFonts w:ascii="TimesNewRoman" w:hAnsi="TimesNewRoman" w:cs="TimesNewRoman"/>
          <w:sz w:val="28"/>
          <w:szCs w:val="28"/>
        </w:rPr>
        <w:t xml:space="preserve">Новосибирской области</w:t>
      </w:r>
      <w:r/>
    </w:p>
    <w:p>
      <w:pPr>
        <w:pStyle w:val="980"/>
        <w:ind w:left="5244" w:right="0" w:firstLine="0"/>
        <w:jc w:val="center"/>
        <w:outlineLvl w:val="0"/>
      </w:pPr>
      <w:r>
        <w:rPr>
          <w:rFonts w:ascii="TimesNewRoman" w:hAnsi="TimesNewRoman" w:cs="TimesNewRoman"/>
          <w:sz w:val="28"/>
          <w:szCs w:val="28"/>
        </w:rPr>
        <w:t xml:space="preserve">от ________ № _______</w:t>
      </w:r>
      <w:r/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hd w:val="nil" w:color="000000"/>
        <w:rPr>
          <w:color w:val="000000" w:themeColor="text1"/>
          <w:sz w:val="28"/>
          <w:szCs w:val="28"/>
          <w14:ligatures w14:val="none"/>
        </w:rPr>
        <w:outlineLvl w:val="0"/>
      </w:pP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jc w:val="center"/>
        <w:shd w:val="nil" w:color="auto"/>
        <w:rPr>
          <w:color w:val="000000" w:themeColor="text1"/>
          <w:sz w:val="28"/>
          <w:szCs w:val="28"/>
          <w14:ligatures w14:val="none"/>
        </w:rPr>
        <w:outlineLvl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jc w:val="center"/>
        <w:shd w:val="nil" w:color="auto"/>
        <w:rPr>
          <w:color w:val="000000" w:themeColor="text1"/>
          <w:sz w:val="28"/>
          <w:szCs w:val="28"/>
          <w14:ligatures w14:val="none"/>
        </w:rPr>
        <w:outlineLvl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орядок согласования с министерством строительства Новосибирской области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 мун</w:t>
      </w:r>
      <w:r>
        <w:rPr>
          <w:color w:val="000000" w:themeColor="text1"/>
          <w:sz w:val="28"/>
          <w:szCs w:val="28"/>
          <w:highlight w:val="white"/>
        </w:rPr>
        <w:t xml:space="preserve">иципального образования Новосибирской области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jc w:val="center"/>
        <w:shd w:val="nil" w:color="auto"/>
        <w:rPr>
          <w:color w:val="000000" w:themeColor="text1"/>
          <w:sz w:val="28"/>
          <w:szCs w:val="28"/>
          <w14:ligatures w14:val="none"/>
        </w:rPr>
        <w:outlineLvl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pStyle w:val="980"/>
        <w:ind w:firstLine="709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sz w:val="28"/>
          <w:szCs w:val="28"/>
        </w:rPr>
        <w:outlineLvl w:val="0"/>
      </w:pPr>
      <w:r>
        <w:rPr>
          <w:rFonts w:ascii="TimesNewRoman" w:hAnsi="TimesNewRoman" w:cs="TimesNewRoman"/>
          <w:sz w:val="28"/>
          <w:szCs w:val="28"/>
        </w:rPr>
        <w:t xml:space="preserve">1. Настоящий порядок устанавливает процедуру согласования с министерством строительства Новосибирской области (далее – Министерство)</w:t>
      </w:r>
      <w:r>
        <w:rPr>
          <w:rFonts w:ascii="TimesNewRoman" w:hAnsi="TimesNewRoman" w:cs="TimesNewRoman"/>
          <w:sz w:val="28"/>
          <w:szCs w:val="28"/>
        </w:rPr>
        <w:t xml:space="preserve">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 муниципального образования Новосибирской области (далее – проект решения).</w:t>
      </w: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sz w:val="28"/>
          <w:szCs w:val="28"/>
        </w:rPr>
        <w:t xml:space="preserve">2. Орган местного самоуправления муниципального образования Н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овосибирской области, уполномоченный на подготовку проекта решения (дал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ее – орган местного самоуправления), в целях согласования направляет в Министерство проект решения, отвечающий требованиям, установленным частями 1, 2 статьи 67 Градостроительного кодекса Российской Федерации, с приложением следующих сведений и документов: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1) сведения о границах территории, в отношении которой подготовлен проект решения, содержащий графическое описание местоположения границ территории в виде схемы, на которой отражаются границы элементов планировочной структуры (планируемые или существующие)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,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земельных участков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и существующих объектов недвижимого имущества, а также текстовое описание местоположения границ территории;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9"/>
        <w:ind w:firstLine="709"/>
        <w:jc w:val="both"/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2) сведения об основных технико-экономических</w:t>
      </w: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показателях</w:t>
      </w: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развития территории (процент застройки, этажность, ориентировочная </w:t>
      </w: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стоимость </w:t>
      </w: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реализации проекта решения</w:t>
      </w: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, расчетная численность населения и т.п.);</w:t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</w:p>
    <w:p>
      <w:pPr>
        <w:pStyle w:val="989"/>
        <w:ind w:firstLine="709"/>
        <w:jc w:val="both"/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3) пояснительная записка, которая должна содержать обоснование соответствия содержания проекта решения достижению целей комплексного развития территории, установленных статьей 64 Градостроительного кодекса Российской Федерации;</w:t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</w:p>
    <w:p>
      <w:pPr>
        <w:pStyle w:val="989"/>
        <w:ind w:firstLine="709"/>
        <w:jc w:val="both"/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4) сведения об очередности планируемого развития территории жилой застройки, в том числе определение этапов и максимальных сроков строительства, реконструкции объектов капитального строительства, включенных в решение о </w:t>
      </w: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комплексном разви</w:t>
      </w: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т</w:t>
      </w: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ии территории жилой застройки, этапов и максимальных сроков строительства, реконструкции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объектов;</w:t>
      </w: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5) копии документов о согласовании проекта решения в соответс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т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вии с порядком, предусмотренном частью 10 статьи 65 Градострои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тельного кодекса Российской Федерации, в случае включения в границы территории комплексного развития жилой, нежилой застройки земельных участков и (или) расположенных на них объектов недвижимого имущества, находящихся в собственности Российской Федераци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и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3. Министерство в срок, не превышающий пять дней с даты поступления проекта решения, проверяет проект решения и прилагаемые к нему сведения и документы на соответствие требованиям, указанным в пункте 2 настоящего Порядка.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4. В случае несоответствия проекта решения и прилагаемых к нему сведений и документов установленным требованиям проект решения возвращается органу местного самоуправления с указанием причин возврата в срок, предусмотренный пунктом 3 настоящего Порядка.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5. В случае соответствия проекта решения требованиям, предусмотренным пунктом 2 настоящего Порядка, Министерство в течение пяти дней со дня поступления проекта решения с прилагаемыми к нему сведениями и документами, указан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ыми в пункте 2 настоящего Порядка, направляет их в областные исполнительные органы  Новосибирской области, указанные в пункте 7 настоящего Порядка, для подготовки ими заключения о согласии или несогласии с проектом решения.</w:t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6. Областные исполнительные органы  Новосибирской облас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ти, указанные в пункте 7 настоящего Порядка, в течение 17 дней со дня поступления проекта решения осуществляют подготовку мотивированного заключения о согласии или несогласии с проектом решения по вопросам своей компетенции и направляют его в Министерство.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7. Рассмотрение и согласование проекта решения областными исполнительными органами Новосибирской области осуществляется в соответствии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с их компетенцией:</w:t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1) министер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ством жилищно-коммунального хозяйства и энергетики Новосибирской области – в части включения в проект решения объектов инженерно-технического обеспечения и коммуникаций, а также в случае подготовки проекта решения в отношении территории, на которой располо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жены многоквартирные жилые дома и жилые дома, признанные аварийными, наличия или планируемого размещения в границах предусмотренной проектом решения территории объектов инженерной инфраструктуры регионального значения (федерального значения),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наличия свободных мощностей теплоэнергетического комплекса (си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стем тепло-, водоснабжения и водоотведения (хозяйственно-бытовые сточные воды)) на конкретной территории, а также предложения по развитию инженерной инфраструктуры, которые необходимо выполнить в рамках реализации проекта, о включении мероприятий по развит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ию инженерной инфраструктуры в программы комплексного развития систем коммунальной инфраструктуры муниципального образования; информацию (сведения) о наличии резерва мощностей систем электроснабжения и газоснабжения на территории муниципального образования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,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в части оценки соответстви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я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многоквартирных домов, которые не признаны аварийными и подлежащими сносу или реконструкции и включен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ы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в проект решения, критериям, установленным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приказом</w:t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  <w:t xml:space="preserve">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министерства ЖКХиЭ Новосибирской области от 05.07.2021 № 117 «Об установлении кри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териев, которым должны соответствовать не признанные аварийными и подлежащими сносу или реконструкции многоквартирные дома, расположенные в границах застроенной территории, в отношении которой осуществляется комплексное развитие территории жилой застройки»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2) министерством здравоохранения Новосибирской области 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в части наличия или планируемого размещения в границах предусмотренной проектом решения территории объектов здравоохранения, наличия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дефицита мест в объектах здравоохранения муниципального образования, а также предложения по созданию и (или) ра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звитию объектов здравоохранения, которые необходимо выполнить в рамках реализации проекта, о включении мероприятий по созданию и (или) развитию объектов здравоохранения в программы комплексного развития социальной инфраструктуры муниципального образования;</w:t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3) министерством физической культуры и спорта Новосибирской области 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в части наличия или планируемого размещения в границах предусмотренной проектом решения территории объектов физической культуры и спорта,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наличие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дефицита в муниципальном образовании объектов физической культуры и спорта;</w:t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4) департаментом имущества и земельных отношений Новосибирской области 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в части включения в проект решения объектов регионального значения и (или) земельных участков, находящихся в собственности Новосибирской области, наличие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оформленных земельно-имущественных отношений на рассматриваемую территорию с указанием категории, вида разрешенного использования земельных участков, прав третьих лиц, ограничений (обременений) права;</w:t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5) министерством сельского хозяйства Новосибирской области 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в части включения в границы территории, предусмотренной проектом решения,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сельскохозяйственн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ых угодий, предусмотренных частями 1, 4 статьи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79 Земельного кодекса Российской Федерации, соответствия правовому режиму земельных участков, определенному Земельным кодексом Российской Федерации, а также ограничениям использования земельных участков в зонах с особыми условиями использования территорий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6) министерством образования Новосибирской области 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в части наличия или планируемого размещения в границах предусмотренной проектом решения территории объектов образования, наличия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дефицита мест в объектах образования муниципального образования, а также предложения по созданию и (и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ли) развитию объектов образования, которые необходимо выполнить в рамках реализации проекта, о включении мероприятий по созданию и (или) развитию объектов образования в программы комплексного развития социальной инфраструктуры поселения, городского округа;</w:t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7) министерством природных ресурсов и экологии Новосибирской области 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в части включения в проект решения земель или земельных участков, объектов капитального стр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оительства, расположенных в границах особо охраняемых природных территорий регионального значения, сведений о наличии или отсутствии месторождений общераспространенных полезных ископаемых, а также о предоставлении (не предоставлении) права пользования учас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тком недр, содержащим общераспространенные полезные ископаемые, сведений о зонах с особыми условиями использования территорий, в том числе зонах затопления, подтопления; водоохранных зонах; прибрежной защитной полосе; зонах санитарной охраны источников пит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ь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евого и хозяйственно-бытового водоснабжения; информации об особо охраняемых природных территориях (в том числе территориях федерального значения); режимах использования и ограничениях размещения объектов капитального строительства на указанных территориях;</w:t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8) министерством транспорта и дорожного хозяйства Новосибирской области 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в части включения в границы территории, предусмотренной проектом решения объектов регионального значения в области транспорта,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запланированных и проводимых мероприятий по развитию дорожно-транспортной инфраструктуры на прилегающих территориях; наличия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возможности подключения к существующей улично-дорожной сети, а также включения мероприятий по созданию и (или) развитию объектов дорожно-транспортной инфраструктуры в программы комплексного развития транспортной инфраструктуры муниципального образования;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9) министерством труда и социального развития Новосибирской области 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в части наличия или планируемого размещения в границах предусмотренной проектом решения территории объектов социальной защиты;</w:t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iCs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10) государственной инспекцией по охране об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ъектов культурного наследия Новосибирской области 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в части наличия в границах предусмотренной проектом решения территории объектов культурного наследия, подлежащих сохранению в соответствии с законодательством Российской Федерации об объектах культурного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наследия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, их зонах охраны; о границах территорий объектов культурного наследия, включенных в реестр объектов культурного наследия, выявленных объектов культурного наследия; о защитных зонах объект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ов культурного наследия, включенных в реестр объектов культурного наследия; об утвержденных и разрабатываемых (планируемых) режимах использования земель и градостроительных регламентов в границах рассматриваемых зон, высотных и иных ограничениях застройки;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tabs>
          <w:tab w:val="left" w:pos="7329" w:leader="none"/>
        </w:tabs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  <w14:ligatures w14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11) 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министерством культуры Новосибирской области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в части наличия или планируемого размещения в границах предусмотренной проектом решения террит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ории объектов культуры;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  <w14:ligatures w14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  <w14:ligatures w14:val="none"/>
        </w:rPr>
      </w:r>
    </w:p>
    <w:p>
      <w:pPr>
        <w:pStyle w:val="980"/>
        <w:ind w:firstLine="709"/>
        <w:jc w:val="both"/>
        <w:tabs>
          <w:tab w:val="left" w:pos="7329" w:leader="none"/>
        </w:tabs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12) 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министерством промышленности, торговли и развития предпринимательства Новосибирской области </w:t>
      </w:r>
      <w:r>
        <w:rPr>
          <w:rFonts w:hint="default" w:ascii="TimesNewRoman" w:hAnsi="TimesNewRoman" w:eastAsia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–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в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части наличия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или отсутствия в границах предусмотренной проектом решения территории промышленных объектов, необходимости сохранения промышленных предприятий или отсутствии такой необходимости.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8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. Министерство, в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случае если по результатам рассмотрения проекта решения областными исполнительными органами Новосибирской области, указанными в пункте 7 настоящего Порядка,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получено хотя бы одно заключение о несогласии с проектом решения, в течении пяти рабочих дней с даты поступления таких заключений от всех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областных исполнительных органов Новосибирской области, указанных в пункте 7 настоящего Поря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дка, организует и проводит согласительное совещание для рассмотрения спорных вопросов с участием представителей областных исполнительных органов Новосибирской области и органа местного самоуправления в целях выработки единой позиции по проекту решения.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Решение по результатам согласительного совещания принимается единогласно.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Результаты работы согласительного совещания отражаются в протоколе заседания указанного совещания.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9. Министерство с учетом требований градостроительного законодательства и заключений, полученных от областн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ых исполнительных органов  Новосибирской области, указанных в пункте 7 настоящего Порядка, в срок не более восьми дней готовит и направляет в орган местного самоуправления заключение о согласовании проекта решения или обоснованный отказ в его согласовании.</w:t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10. Решение об отказе в согласовании проекта решения принимается при наличии хотя бы одного из следующих оснований:</w:t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1) по результатам проведения согласительного совещания не выработана единая позиция, позволяющая реализовать проект решения;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3) в границах территории (части те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рритории), в отношении которой подготовлен проект решения, в соответствии с законодательством Российской Федерации установлены запреты и (или) ограничения, соблюдение которых не обеспечивается при реализации мероприятий по комплексному развитию территории;</w:t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4) в границы территории, в отношении которой подготовлен проект решения, включены земельные участки, на которых планируется размещение объектов федерального, регионального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значения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, за исключением случаев согласования включения указанных земельных участков в границы территории, подлежащей комплексному развит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ию, с федеральными органами исполнительной власти, иными организациями,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участками, уполномоченными 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исполнительными органами  Новосибирской области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5) имеется пересечение границ территории, в отношении которой подготовлен проект решения, с границами территорий, в отношении которых принято решение о комплексном развитии Правительством Российской Федерации или Правительством Новосибирской области;</w:t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i w:val="0"/>
          <w:strike w:val="0"/>
          <w:color w:val="000000" w:themeColor="text1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6) включение в границы территории, в отношении которой подготовлен проект решения, земельных участков, являющихся ограниченными в обороте или изъятыми из оборота;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sz w:val="28"/>
          <w:szCs w:val="28"/>
          <w:highlight w:val="none"/>
        </w:rPr>
        <w:outlineLvl w:val="0"/>
      </w:pP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7) земельные участки и (или) расположенные на них объекты недвижимого имущества, включенные в границы т</w:t>
      </w:r>
      <w:r>
        <w:rPr>
          <w:rFonts w:ascii="TimesNewRoman" w:hAnsi="TimesNewRoman" w:cs="TimesNew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ерритории, в отношении которой подготовлен проект решения, находятся в собственности Российской Федерации, Новосибирской области, за исключением случаев, когда на их</w:t>
      </w:r>
      <w:r>
        <w:rPr>
          <w:rFonts w:ascii="TimesNewRoman" w:hAnsi="TimesNewRoman" w:cs="TimesNewRoman"/>
          <w:sz w:val="28"/>
          <w:szCs w:val="28"/>
        </w:rPr>
        <w:t xml:space="preserve"> включение получено согласование, предусмотренное подпунктом 5 пункта 2 настоящего Порядка;</w:t>
      </w:r>
      <w:r>
        <w:rPr>
          <w:rFonts w:ascii="TimesNewRoman" w:hAnsi="TimesNewRoman" w:cs="TimesNewRoman"/>
          <w:sz w:val="28"/>
          <w:szCs w:val="28"/>
          <w:highlight w:val="none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sz w:val="28"/>
          <w:szCs w:val="28"/>
        </w:rPr>
        <w:outlineLvl w:val="0"/>
      </w:pPr>
      <w:r>
        <w:rPr>
          <w:rFonts w:ascii="TimesNewRoman" w:hAnsi="TimesNewRoman" w:cs="TimesNewRoman"/>
          <w:sz w:val="28"/>
          <w:szCs w:val="28"/>
        </w:rPr>
        <w:t xml:space="preserve">11. Срок согласования проекта решения не может превышать 30 дней со дня поступления в Министерство проекта решения и прилагаемых к нему сведений и документов, указанных в пункте 2 настоящего Порядка</w:t>
      </w:r>
      <w:r>
        <w:rPr>
          <w:rFonts w:ascii="TimesNewRoman" w:hAnsi="TimesNewRoman" w:cs="TimesNewRoman"/>
          <w:sz w:val="28"/>
          <w:szCs w:val="28"/>
        </w:rPr>
        <w:t xml:space="preserve">.</w:t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sz w:val="28"/>
          <w:szCs w:val="28"/>
        </w:rPr>
        <w:outlineLvl w:val="0"/>
      </w:pPr>
      <w:r>
        <w:rPr>
          <w:rFonts w:ascii="TimesNewRoman" w:hAnsi="TimesNewRoman" w:cs="TimesNewRoman"/>
          <w:sz w:val="28"/>
          <w:szCs w:val="28"/>
        </w:rPr>
        <w:t xml:space="preserve">12. Повторное согласование проекта решения осуществляется в соответствии с положениями настоящего Порядка.</w:t>
      </w: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sz w:val="28"/>
          <w:szCs w:val="28"/>
          <w:highlight w:val="none"/>
        </w:rPr>
        <w:outlineLvl w:val="0"/>
      </w:pPr>
      <w:r>
        <w:rPr>
          <w:rFonts w:ascii="TimesNewRoman" w:hAnsi="TimesNewRoman" w:cs="TimesNewRoman"/>
          <w:sz w:val="28"/>
          <w:szCs w:val="28"/>
        </w:rPr>
        <w:t xml:space="preserve">13. Согласование проектов решений о внесении</w:t>
      </w:r>
      <w:r>
        <w:rPr>
          <w:rFonts w:ascii="TimesNewRoman" w:hAnsi="TimesNewRoman" w:cs="TimesNewRoman"/>
          <w:sz w:val="28"/>
          <w:szCs w:val="28"/>
        </w:rPr>
        <w:t xml:space="preserve"> изменений в решения о комплексном развитии территории жилой застройки, решения о комплексном развитии территории нежилой застройки, подготовленных органом местного самоуправления осуществляется согласно настоящему Порядку.</w:t>
      </w: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sz w:val="28"/>
          <w:szCs w:val="28"/>
        </w:rPr>
        <w:outlineLvl w:val="0"/>
      </w:pP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80"/>
        <w:ind w:firstLine="709"/>
        <w:jc w:val="both"/>
        <w:rPr>
          <w:rFonts w:ascii="TimesNewRoman" w:hAnsi="TimesNewRoman" w:cs="TimesNewRoman"/>
          <w:sz w:val="28"/>
          <w:szCs w:val="28"/>
        </w:rPr>
        <w:outlineLvl w:val="0"/>
      </w:pP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pStyle w:val="980"/>
        <w:ind w:firstLine="709"/>
        <w:jc w:val="center"/>
        <w:rPr>
          <w:rFonts w:ascii="TimesNewRoman" w:hAnsi="TimesNewRoman" w:cs="TimesNewRoman"/>
          <w:sz w:val="28"/>
          <w:szCs w:val="28"/>
        </w:rPr>
        <w:outlineLvl w:val="0"/>
      </w:pPr>
      <w:r>
        <w:rPr>
          <w:rFonts w:ascii="TimesNewRoman" w:hAnsi="TimesNewRoman" w:cs="TimesNewRoman"/>
          <w:sz w:val="28"/>
          <w:szCs w:val="28"/>
          <w:highlight w:val="none"/>
        </w:rPr>
        <w:t xml:space="preserve">_________</w:t>
      </w:r>
      <w:r>
        <w:rPr>
          <w:rFonts w:ascii="TimesNewRoman" w:hAnsi="TimesNewRoman" w:cs="TimesNewRoman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80"/>
      </w:pPr>
      <w:r>
        <w:rPr>
          <w:sz w:val="24"/>
          <w:szCs w:val="24"/>
        </w:rPr>
        <w:separator/>
      </w:r>
      <w:r/>
    </w:p>
  </w:endnote>
  <w:endnote w:type="continuationSeparator" w:id="0">
    <w:p>
      <w:pPr>
        <w:pStyle w:val="980"/>
      </w:pPr>
      <w:r>
        <w:rPr>
          <w:sz w:val="24"/>
          <w:szCs w:val="24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Courier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80"/>
      </w:pPr>
      <w:r>
        <w:rPr>
          <w:sz w:val="24"/>
          <w:szCs w:val="24"/>
        </w:rPr>
        <w:separator/>
      </w:r>
      <w:r/>
    </w:p>
  </w:footnote>
  <w:footnote w:type="continuationSeparator" w:id="0">
    <w:p>
      <w:pPr>
        <w:pStyle w:val="980"/>
      </w:pPr>
      <w:r>
        <w:rPr>
          <w:sz w:val="24"/>
          <w:szCs w:val="24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26"/>
      <w:jc w:val="center"/>
      <w:rPr>
        <w:rFonts w:ascii="Times New Roman" w:hAnsi="Times New Roman" w:eastAsia="Times New Roman" w:cs="Times New Roman"/>
        <w:sz w:val="20"/>
        <w:szCs w:val="20"/>
        <w:highlight w:val="none"/>
      </w:rPr>
    </w:pP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</w:p>
  <w:p>
    <w:pPr>
      <w:pStyle w:val="826"/>
      <w:jc w:val="center"/>
      <w:rPr>
        <w:rFonts w:ascii="Times New Roman" w:hAnsi="Times New Roman" w:eastAsia="Times New Roman" w:cs="Times New Roman"/>
        <w:sz w:val="20"/>
        <w:szCs w:val="20"/>
        <w:highlight w:val="none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ja-JP" w:bidi="ar-SA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8">
    <w:name w:val="Table Grid Light"/>
    <w:basedOn w:val="7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Grid Table 1 Light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 - Accent 1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7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6">
    <w:name w:val="List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0">
    <w:name w:val="List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paragraph" w:styleId="781" w:default="1">
    <w:name w:val="Normal"/>
    <w:qFormat/>
    <w:pPr>
      <w:spacing w:after="0" w:line="240" w:lineRule="auto"/>
      <w:widowControl w:val="off"/>
    </w:pPr>
    <w:rPr>
      <w:lang w:val="ru-RU" w:eastAsia="ru-RU"/>
    </w:rPr>
  </w:style>
  <w:style w:type="paragraph" w:styleId="782">
    <w:name w:val="Heading 1"/>
    <w:basedOn w:val="781"/>
    <w:next w:val="781"/>
    <w:link w:val="803"/>
    <w:uiPriority w:val="99"/>
    <w:qFormat/>
    <w:pPr>
      <w:keepLines/>
      <w:keepNext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783">
    <w:name w:val="Heading 2"/>
    <w:basedOn w:val="781"/>
    <w:next w:val="781"/>
    <w:link w:val="794"/>
    <w:uiPriority w:val="99"/>
    <w:qFormat/>
    <w:pPr>
      <w:keepLines/>
      <w:keepNext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784">
    <w:name w:val="Heading 3"/>
    <w:basedOn w:val="781"/>
    <w:next w:val="781"/>
    <w:link w:val="795"/>
    <w:uiPriority w:val="99"/>
    <w:qFormat/>
    <w:pPr>
      <w:keepLines/>
      <w:keepNext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785">
    <w:name w:val="Heading 4"/>
    <w:basedOn w:val="781"/>
    <w:next w:val="781"/>
    <w:link w:val="796"/>
    <w:uiPriority w:val="99"/>
    <w:qFormat/>
    <w:pPr>
      <w:keepLines/>
      <w:keepNext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786">
    <w:name w:val="Heading 5"/>
    <w:basedOn w:val="781"/>
    <w:next w:val="781"/>
    <w:link w:val="797"/>
    <w:uiPriority w:val="99"/>
    <w:qFormat/>
    <w:pPr>
      <w:keepLines/>
      <w:keepNext/>
      <w:spacing w:before="320" w:after="200"/>
      <w:outlineLvl w:val="4"/>
    </w:pPr>
    <w:rPr>
      <w:rFonts w:ascii="Arial" w:hAnsi="Arial" w:cs="Arial"/>
      <w:b/>
      <w:bCs/>
    </w:rPr>
  </w:style>
  <w:style w:type="paragraph" w:styleId="787">
    <w:name w:val="Heading 6"/>
    <w:basedOn w:val="781"/>
    <w:next w:val="781"/>
    <w:link w:val="798"/>
    <w:uiPriority w:val="99"/>
    <w:qFormat/>
    <w:pPr>
      <w:keepLines/>
      <w:keepNext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88">
    <w:name w:val="Heading 7"/>
    <w:basedOn w:val="781"/>
    <w:next w:val="781"/>
    <w:link w:val="799"/>
    <w:uiPriority w:val="99"/>
    <w:qFormat/>
    <w:pPr>
      <w:keepLines/>
      <w:keepNext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789">
    <w:name w:val="Heading 8"/>
    <w:basedOn w:val="781"/>
    <w:next w:val="781"/>
    <w:link w:val="800"/>
    <w:uiPriority w:val="99"/>
    <w:qFormat/>
    <w:pPr>
      <w:keepLines/>
      <w:keepNext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790">
    <w:name w:val="Heading 9"/>
    <w:basedOn w:val="781"/>
    <w:next w:val="781"/>
    <w:link w:val="801"/>
    <w:uiPriority w:val="99"/>
    <w:qFormat/>
    <w:pPr>
      <w:keepLines/>
      <w:keepNext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styleId="791" w:default="1">
    <w:name w:val="Default Paragraph Font"/>
    <w:uiPriority w:val="1"/>
    <w:semiHidden/>
    <w:unhideWhenUsed/>
  </w:style>
  <w:style w:type="table" w:styleId="7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3" w:default="1">
    <w:name w:val="No List"/>
    <w:uiPriority w:val="99"/>
    <w:semiHidden/>
    <w:unhideWhenUsed/>
  </w:style>
  <w:style w:type="character" w:styleId="794" w:customStyle="1">
    <w:name w:val="Заголовок 2 Знак"/>
    <w:basedOn w:val="791"/>
    <w:link w:val="783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795" w:customStyle="1">
    <w:name w:val="Заголовок 3 Знак"/>
    <w:basedOn w:val="791"/>
    <w:link w:val="784"/>
    <w:uiPriority w:val="9"/>
    <w:semiHidden/>
    <w:rPr>
      <w:rFonts w:cs="Times New Roman" w:asciiTheme="majorHAnsi" w:hAnsiTheme="majorHAnsi" w:eastAsiaTheme="majorEastAsia"/>
      <w:b/>
      <w:bCs/>
      <w:sz w:val="26"/>
      <w:szCs w:val="26"/>
    </w:rPr>
  </w:style>
  <w:style w:type="character" w:styleId="796" w:customStyle="1">
    <w:name w:val="Заголовок 4 Знак"/>
    <w:basedOn w:val="791"/>
    <w:link w:val="785"/>
    <w:uiPriority w:val="9"/>
    <w:semiHidden/>
    <w:rPr>
      <w:rFonts w:cs="Times New Roman" w:asciiTheme="minorHAnsi" w:hAnsiTheme="minorHAnsi" w:eastAsiaTheme="minorEastAsia"/>
      <w:b/>
      <w:bCs/>
      <w:sz w:val="28"/>
      <w:szCs w:val="28"/>
    </w:rPr>
  </w:style>
  <w:style w:type="character" w:styleId="797" w:customStyle="1">
    <w:name w:val="Заголовок 5 Знак"/>
    <w:basedOn w:val="791"/>
    <w:link w:val="786"/>
    <w:uiPriority w:val="9"/>
    <w:semiHidden/>
    <w:rPr>
      <w:rFonts w:cs="Times New Roman" w:asciiTheme="minorHAnsi" w:hAnsiTheme="minorHAnsi" w:eastAsiaTheme="minorEastAsia"/>
      <w:b/>
      <w:bCs/>
      <w:i/>
      <w:iCs/>
      <w:sz w:val="26"/>
      <w:szCs w:val="26"/>
    </w:rPr>
  </w:style>
  <w:style w:type="character" w:styleId="798" w:customStyle="1">
    <w:name w:val="Заголовок 6 Знак"/>
    <w:basedOn w:val="791"/>
    <w:link w:val="787"/>
    <w:uiPriority w:val="9"/>
    <w:semiHidden/>
    <w:rPr>
      <w:rFonts w:cs="Times New Roman" w:asciiTheme="minorHAnsi" w:hAnsiTheme="minorHAnsi" w:eastAsiaTheme="minorEastAsia"/>
      <w:b/>
      <w:bCs/>
      <w:sz w:val="22"/>
      <w:szCs w:val="22"/>
    </w:rPr>
  </w:style>
  <w:style w:type="character" w:styleId="799" w:customStyle="1">
    <w:name w:val="Заголовок 7 Знак"/>
    <w:basedOn w:val="791"/>
    <w:link w:val="788"/>
    <w:uiPriority w:val="9"/>
    <w:semiHidden/>
    <w:rPr>
      <w:rFonts w:cs="Times New Roman" w:asciiTheme="minorHAnsi" w:hAnsiTheme="minorHAnsi" w:eastAsiaTheme="minorEastAsia"/>
    </w:rPr>
  </w:style>
  <w:style w:type="character" w:styleId="800" w:customStyle="1">
    <w:name w:val="Заголовок 8 Знак"/>
    <w:basedOn w:val="791"/>
    <w:link w:val="789"/>
    <w:uiPriority w:val="9"/>
    <w:semiHidden/>
    <w:rPr>
      <w:rFonts w:cs="Times New Roman" w:asciiTheme="minorHAnsi" w:hAnsiTheme="minorHAnsi" w:eastAsiaTheme="minorEastAsia"/>
      <w:i/>
      <w:iCs/>
    </w:rPr>
  </w:style>
  <w:style w:type="character" w:styleId="801" w:customStyle="1">
    <w:name w:val="Заголовок 9 Знак"/>
    <w:basedOn w:val="791"/>
    <w:link w:val="790"/>
    <w:uiPriority w:val="9"/>
    <w:semiHidden/>
    <w:rPr>
      <w:rFonts w:cs="Times New Roman" w:asciiTheme="majorHAnsi" w:hAnsiTheme="majorHAnsi" w:eastAsiaTheme="majorEastAsia"/>
      <w:sz w:val="22"/>
      <w:szCs w:val="22"/>
    </w:rPr>
  </w:style>
  <w:style w:type="character" w:styleId="802" w:customStyle="1">
    <w:name w:val="Heading 1 Char"/>
    <w:uiPriority w:val="99"/>
    <w:rPr>
      <w:rFonts w:ascii="Arial" w:hAnsi="Arial"/>
      <w:sz w:val="40"/>
    </w:rPr>
  </w:style>
  <w:style w:type="character" w:styleId="803" w:customStyle="1">
    <w:name w:val="Заголовок 1 Знак"/>
    <w:basedOn w:val="791"/>
    <w:link w:val="782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804" w:customStyle="1">
    <w:name w:val="Heading 2 Char"/>
    <w:uiPriority w:val="99"/>
    <w:rPr>
      <w:rFonts w:ascii="Arial" w:hAnsi="Arial"/>
      <w:sz w:val="34"/>
    </w:rPr>
  </w:style>
  <w:style w:type="character" w:styleId="805" w:customStyle="1">
    <w:name w:val="Heading 3 Char"/>
    <w:uiPriority w:val="99"/>
    <w:rPr>
      <w:rFonts w:ascii="Arial" w:hAnsi="Arial"/>
      <w:sz w:val="30"/>
    </w:rPr>
  </w:style>
  <w:style w:type="character" w:styleId="806" w:customStyle="1">
    <w:name w:val="Heading 4 Char"/>
    <w:uiPriority w:val="99"/>
    <w:rPr>
      <w:rFonts w:ascii="Arial" w:hAnsi="Arial"/>
      <w:b/>
      <w:sz w:val="26"/>
    </w:rPr>
  </w:style>
  <w:style w:type="character" w:styleId="807" w:customStyle="1">
    <w:name w:val="Heading 5 Char"/>
    <w:uiPriority w:val="99"/>
    <w:rPr>
      <w:rFonts w:ascii="Arial" w:hAnsi="Arial"/>
      <w:b/>
    </w:rPr>
  </w:style>
  <w:style w:type="character" w:styleId="808" w:customStyle="1">
    <w:name w:val="Heading 6 Char"/>
    <w:uiPriority w:val="99"/>
    <w:rPr>
      <w:rFonts w:ascii="Arial" w:hAnsi="Arial"/>
      <w:b/>
      <w:sz w:val="22"/>
    </w:rPr>
  </w:style>
  <w:style w:type="character" w:styleId="809" w:customStyle="1">
    <w:name w:val="Heading 7 Char"/>
    <w:uiPriority w:val="99"/>
    <w:rPr>
      <w:rFonts w:ascii="Arial" w:hAnsi="Arial"/>
      <w:b/>
      <w:i/>
      <w:sz w:val="22"/>
    </w:rPr>
  </w:style>
  <w:style w:type="character" w:styleId="810" w:customStyle="1">
    <w:name w:val="Heading 8 Char"/>
    <w:uiPriority w:val="99"/>
    <w:rPr>
      <w:rFonts w:ascii="Arial" w:hAnsi="Arial"/>
      <w:i/>
      <w:sz w:val="22"/>
    </w:rPr>
  </w:style>
  <w:style w:type="character" w:styleId="811" w:customStyle="1">
    <w:name w:val="Heading 9 Char"/>
    <w:uiPriority w:val="99"/>
    <w:rPr>
      <w:rFonts w:ascii="Arial" w:hAnsi="Arial"/>
      <w:i/>
      <w:sz w:val="21"/>
    </w:rPr>
  </w:style>
  <w:style w:type="paragraph" w:styleId="812">
    <w:name w:val="List Paragraph"/>
    <w:basedOn w:val="781"/>
    <w:uiPriority w:val="99"/>
    <w:qFormat/>
    <w:pPr>
      <w:contextualSpacing/>
      <w:ind w:left="720"/>
    </w:pPr>
    <w:rPr>
      <w:rFonts w:ascii="Arial" w:hAnsi="Arial" w:cs="Arial"/>
    </w:rPr>
  </w:style>
  <w:style w:type="paragraph" w:styleId="813">
    <w:name w:val="No Spacing"/>
    <w:uiPriority w:val="99"/>
    <w:qFormat/>
    <w:pPr>
      <w:spacing w:after="0" w:line="240" w:lineRule="auto"/>
      <w:widowControl w:val="off"/>
    </w:pPr>
    <w:rPr>
      <w:rFonts w:ascii="Arial" w:hAnsi="Arial" w:cs="Arial"/>
      <w:lang w:val="ru-RU" w:eastAsia="ru-RU"/>
    </w:rPr>
  </w:style>
  <w:style w:type="paragraph" w:styleId="814">
    <w:name w:val="Title"/>
    <w:basedOn w:val="781"/>
    <w:next w:val="781"/>
    <w:link w:val="816"/>
    <w:uiPriority w:val="99"/>
    <w:qFormat/>
    <w:pPr>
      <w:contextualSpacing/>
      <w:spacing w:before="300" w:after="200"/>
    </w:pPr>
    <w:rPr>
      <w:rFonts w:ascii="Arial" w:hAnsi="Arial" w:cs="Arial"/>
      <w:sz w:val="48"/>
      <w:szCs w:val="48"/>
    </w:rPr>
  </w:style>
  <w:style w:type="character" w:styleId="815" w:customStyle="1">
    <w:name w:val="Title Char"/>
    <w:uiPriority w:val="99"/>
    <w:rPr>
      <w:rFonts w:ascii="Arial" w:hAnsi="Arial"/>
      <w:sz w:val="48"/>
    </w:rPr>
  </w:style>
  <w:style w:type="character" w:styleId="816" w:customStyle="1">
    <w:name w:val="Заголовок Знак"/>
    <w:basedOn w:val="791"/>
    <w:link w:val="814"/>
    <w:uiPriority w:val="10"/>
    <w:rPr>
      <w:rFonts w:cs="Times New Roman" w:asciiTheme="majorHAnsi" w:hAnsiTheme="majorHAnsi" w:eastAsiaTheme="majorEastAsia"/>
      <w:b/>
      <w:bCs/>
      <w:sz w:val="32"/>
      <w:szCs w:val="32"/>
    </w:rPr>
  </w:style>
  <w:style w:type="paragraph" w:styleId="817">
    <w:name w:val="Subtitle"/>
    <w:basedOn w:val="781"/>
    <w:next w:val="781"/>
    <w:link w:val="819"/>
    <w:uiPriority w:val="99"/>
    <w:qFormat/>
    <w:pPr>
      <w:spacing w:before="200" w:after="200"/>
    </w:pPr>
    <w:rPr>
      <w:rFonts w:ascii="Arial" w:hAnsi="Arial" w:cs="Arial"/>
    </w:rPr>
  </w:style>
  <w:style w:type="character" w:styleId="818" w:customStyle="1">
    <w:name w:val="Subtitle Char"/>
    <w:uiPriority w:val="99"/>
    <w:rPr>
      <w:rFonts w:ascii="Arial" w:hAnsi="Arial"/>
    </w:rPr>
  </w:style>
  <w:style w:type="character" w:styleId="819" w:customStyle="1">
    <w:name w:val="Подзаголовок Знак"/>
    <w:basedOn w:val="791"/>
    <w:link w:val="817"/>
    <w:uiPriority w:val="11"/>
    <w:rPr>
      <w:rFonts w:cs="Times New Roman" w:asciiTheme="majorHAnsi" w:hAnsiTheme="majorHAnsi" w:eastAsiaTheme="majorEastAsia"/>
    </w:rPr>
  </w:style>
  <w:style w:type="paragraph" w:styleId="820">
    <w:name w:val="Quote"/>
    <w:basedOn w:val="781"/>
    <w:next w:val="781"/>
    <w:link w:val="822"/>
    <w:uiPriority w:val="99"/>
    <w:qFormat/>
    <w:pPr>
      <w:ind w:left="720"/>
    </w:pPr>
    <w:rPr>
      <w:rFonts w:ascii="Arial" w:hAnsi="Arial" w:cs="Arial"/>
      <w:i/>
      <w:iCs/>
    </w:rPr>
  </w:style>
  <w:style w:type="character" w:styleId="821" w:customStyle="1">
    <w:name w:val="Quote Char"/>
    <w:uiPriority w:val="99"/>
    <w:rPr>
      <w:rFonts w:ascii="Arial" w:hAnsi="Arial"/>
      <w:i/>
    </w:rPr>
  </w:style>
  <w:style w:type="character" w:styleId="822" w:customStyle="1">
    <w:name w:val="Цитата 2 Знак"/>
    <w:basedOn w:val="791"/>
    <w:link w:val="820"/>
    <w:uiPriority w:val="29"/>
    <w:rPr>
      <w:rFonts w:cs="Times New Roman"/>
      <w:i/>
      <w:iCs/>
      <w:color w:val="404040" w:themeColor="text1" w:themeTint="BF"/>
    </w:rPr>
  </w:style>
  <w:style w:type="paragraph" w:styleId="823">
    <w:name w:val="Intense Quote"/>
    <w:basedOn w:val="781"/>
    <w:next w:val="781"/>
    <w:link w:val="825"/>
    <w:uiPriority w:val="99"/>
    <w:qFormat/>
    <w:pPr>
      <w:contextualSpacing/>
      <w:ind w:lef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cs="Arial"/>
      <w:i/>
      <w:iCs/>
    </w:rPr>
  </w:style>
  <w:style w:type="character" w:styleId="824" w:customStyle="1">
    <w:name w:val="Intense Quote Char"/>
    <w:uiPriority w:val="99"/>
    <w:rPr>
      <w:rFonts w:ascii="Arial" w:hAnsi="Arial"/>
      <w:i/>
    </w:rPr>
  </w:style>
  <w:style w:type="character" w:styleId="825" w:customStyle="1">
    <w:name w:val="Выделенная цитата Знак"/>
    <w:basedOn w:val="791"/>
    <w:link w:val="823"/>
    <w:uiPriority w:val="30"/>
    <w:rPr>
      <w:rFonts w:cs="Times New Roman"/>
      <w:i/>
      <w:iCs/>
      <w:color w:val="2f5496" w:themeColor="accent1" w:themeShade="BF"/>
    </w:rPr>
  </w:style>
  <w:style w:type="paragraph" w:styleId="826">
    <w:name w:val="Header"/>
    <w:basedOn w:val="781"/>
    <w:link w:val="828"/>
    <w:uiPriority w:val="99"/>
    <w:unhideWhenUsed/>
    <w:pPr>
      <w:tabs>
        <w:tab w:val="center" w:pos="7143" w:leader="none"/>
        <w:tab w:val="right" w:pos="14287" w:leader="none"/>
      </w:tabs>
    </w:pPr>
    <w:rPr>
      <w:rFonts w:ascii="Arial" w:hAnsi="Arial" w:cs="Arial"/>
    </w:rPr>
  </w:style>
  <w:style w:type="character" w:styleId="827" w:customStyle="1">
    <w:name w:val="Header Char"/>
    <w:uiPriority w:val="99"/>
    <w:rPr>
      <w:rFonts w:ascii="Arial" w:hAnsi="Arial"/>
    </w:rPr>
  </w:style>
  <w:style w:type="character" w:styleId="828" w:customStyle="1">
    <w:name w:val="Верхний колонтитул Знак"/>
    <w:basedOn w:val="791"/>
    <w:link w:val="826"/>
    <w:uiPriority w:val="99"/>
    <w:semiHidden/>
    <w:rPr>
      <w:rFonts w:cs="Times New Roman"/>
    </w:rPr>
  </w:style>
  <w:style w:type="paragraph" w:styleId="829">
    <w:name w:val="Footer"/>
    <w:basedOn w:val="781"/>
    <w:link w:val="831"/>
    <w:uiPriority w:val="99"/>
    <w:unhideWhenUsed/>
    <w:pPr>
      <w:tabs>
        <w:tab w:val="center" w:pos="7143" w:leader="none"/>
        <w:tab w:val="right" w:pos="14287" w:leader="none"/>
      </w:tabs>
    </w:pPr>
    <w:rPr>
      <w:rFonts w:ascii="Arial" w:hAnsi="Arial" w:cs="Arial"/>
    </w:rPr>
  </w:style>
  <w:style w:type="character" w:styleId="830" w:customStyle="1">
    <w:name w:val="Footer Char"/>
    <w:uiPriority w:val="99"/>
    <w:rPr>
      <w:rFonts w:ascii="Arial" w:hAnsi="Arial"/>
    </w:rPr>
  </w:style>
  <w:style w:type="character" w:styleId="831" w:customStyle="1">
    <w:name w:val="Нижний колонтитул Знак"/>
    <w:basedOn w:val="791"/>
    <w:link w:val="829"/>
    <w:uiPriority w:val="99"/>
    <w:semiHidden/>
    <w:rPr>
      <w:rFonts w:cs="Times New Roman"/>
    </w:rPr>
  </w:style>
  <w:style w:type="paragraph" w:styleId="832">
    <w:name w:val="Caption"/>
    <w:basedOn w:val="781"/>
    <w:next w:val="781"/>
    <w:uiPriority w:val="99"/>
    <w:qFormat/>
    <w:pPr>
      <w:spacing w:line="276" w:lineRule="auto"/>
    </w:pPr>
    <w:rPr>
      <w:rFonts w:ascii="Arial" w:hAnsi="Arial" w:cs="Arial"/>
      <w:b/>
      <w:bCs/>
      <w:color w:val="4f81bd"/>
      <w:sz w:val="18"/>
      <w:szCs w:val="18"/>
    </w:rPr>
  </w:style>
  <w:style w:type="character" w:styleId="833" w:customStyle="1">
    <w:name w:val="Caption Char"/>
    <w:uiPriority w:val="99"/>
    <w:rPr>
      <w:rFonts w:ascii="Arial" w:hAnsi="Arial"/>
    </w:rPr>
  </w:style>
  <w:style w:type="table" w:styleId="834">
    <w:name w:val="Table Grid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/>
  </w:style>
  <w:style w:type="table" w:styleId="835">
    <w:name w:val="Grid Table Light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/>
  </w:style>
  <w:style w:type="table" w:styleId="836">
    <w:name w:val="Plain Table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/>
  </w:style>
  <w:style w:type="table" w:styleId="837">
    <w:name w:val="Plain Table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/>
  </w:style>
  <w:style w:type="table" w:styleId="838">
    <w:name w:val="Plain Table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39">
    <w:name w:val="Plain Table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0">
    <w:name w:val="Plain Table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1">
    <w:name w:val="Grid Table 1 Light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2">
    <w:name w:val="Grid Table 1 Light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3">
    <w:name w:val="Grid Table 1 Light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4">
    <w:name w:val="Grid Table 1 Light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5">
    <w:name w:val="Grid Table 1 Light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6">
    <w:name w:val="Grid Table 1 Light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7">
    <w:name w:val="Grid Table 1 Light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8">
    <w:name w:val="Grid Table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49">
    <w:name w:val="Grid Table 2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0">
    <w:name w:val="Grid Table 2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1">
    <w:name w:val="Grid Table 2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2">
    <w:name w:val="Grid Table 2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3">
    <w:name w:val="Grid Table 2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4">
    <w:name w:val="Grid Table 2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5">
    <w:name w:val="Grid Table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6">
    <w:name w:val="Grid Table 3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7">
    <w:name w:val="Grid Table 3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8">
    <w:name w:val="Grid Table 3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59">
    <w:name w:val="Grid Table 3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0">
    <w:name w:val="Grid Table 3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1">
    <w:name w:val="Grid Table 3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2">
    <w:name w:val="Grid Table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3">
    <w:name w:val="Grid Table 4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4">
    <w:name w:val="Grid Table 4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5">
    <w:name w:val="Grid Table 4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6">
    <w:name w:val="Grid Table 4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7">
    <w:name w:val="Grid Table 4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8">
    <w:name w:val="Grid Table 4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69">
    <w:name w:val="Grid Table 5 Dark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0" w:customStyle="1">
    <w:name w:val="Grid Table 5 Dark- Accent 1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Grid Table 5 Dark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2">
    <w:name w:val="Grid Table 5 Dark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3" w:customStyle="1">
    <w:name w:val="Grid Table 5 Dark- Accent 4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Grid Table 5 Dark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5">
    <w:name w:val="Grid Table 5 Dark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6">
    <w:name w:val="Grid Table 6 Colorful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7">
    <w:name w:val="Grid Table 6 Colorful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8">
    <w:name w:val="Grid Table 6 Colorful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79">
    <w:name w:val="Grid Table 6 Colorful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0">
    <w:name w:val="Grid Table 6 Colorful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1">
    <w:name w:val="Grid Table 6 Colorful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2">
    <w:name w:val="Grid Table 6 Colorful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3">
    <w:name w:val="Grid Table 7 Colorful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4">
    <w:name w:val="Grid Table 7 Colorful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5">
    <w:name w:val="Grid Table 7 Colorful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6">
    <w:name w:val="Grid Table 7 Colorful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7">
    <w:name w:val="Grid Table 7 Colorful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8">
    <w:name w:val="Grid Table 7 Colorful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89">
    <w:name w:val="Grid Table 7 Colorful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0">
    <w:name w:val="List Table 1 Light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1">
    <w:name w:val="List Table 1 Light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2">
    <w:name w:val="List Table 1 Light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3">
    <w:name w:val="List Table 1 Light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4">
    <w:name w:val="List Table 1 Light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5">
    <w:name w:val="List Table 1 Light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6">
    <w:name w:val="List Table 1 Light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7">
    <w:name w:val="List Table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8">
    <w:name w:val="List Table 2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899">
    <w:name w:val="List Table 2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00">
    <w:name w:val="List Table 2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01">
    <w:name w:val="List Table 2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02">
    <w:name w:val="List Table 2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03">
    <w:name w:val="List Table 2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04">
    <w:name w:val="List Table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05">
    <w:name w:val="List Table 3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06">
    <w:name w:val="List Table 3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07">
    <w:name w:val="List Table 3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08">
    <w:name w:val="List Table 3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09">
    <w:name w:val="List Table 3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10">
    <w:name w:val="List Table 3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11">
    <w:name w:val="List Table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12">
    <w:name w:val="List Table 4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13">
    <w:name w:val="List Table 4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14">
    <w:name w:val="List Table 4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15">
    <w:name w:val="List Table 4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16">
    <w:name w:val="List Table 4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17">
    <w:name w:val="List Table 4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18">
    <w:name w:val="List Table 5 Dark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19">
    <w:name w:val="List Table 5 Dark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20">
    <w:name w:val="List Table 5 Dark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21">
    <w:name w:val="List Table 5 Dark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22">
    <w:name w:val="List Table 5 Dark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23">
    <w:name w:val="List Table 5 Dark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24">
    <w:name w:val="List Table 5 Dark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25">
    <w:name w:val="List Table 6 Colorful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26">
    <w:name w:val="List Table 6 Colorful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27">
    <w:name w:val="List Table 6 Colorful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28">
    <w:name w:val="List Table 6 Colorful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29">
    <w:name w:val="List Table 6 Colorful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30">
    <w:name w:val="List Table 6 Colorful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31">
    <w:name w:val="List Table 6 Colorful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32">
    <w:name w:val="List Table 7 Colorful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33">
    <w:name w:val="List Table 7 Colorful Accent 1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34">
    <w:name w:val="List Table 7 Colorful Accent 2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35">
    <w:name w:val="List Table 7 Colorful Accent 3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36">
    <w:name w:val="List Table 7 Colorful Accent 4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37">
    <w:name w:val="List Table 7 Colorful Accent 5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38">
    <w:name w:val="List Table 7 Colorful Accent 6"/>
    <w:basedOn w:val="79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CellMar>
        <w:left w:w="0" w:type="dxa"/>
        <w:right w:w="0" w:type="dxa"/>
      </w:tblCellMar>
    </w:tblPr>
  </w:style>
  <w:style w:type="table" w:styleId="939" w:customStyle="1">
    <w:name w:val="Lined - Accent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 1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2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3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4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5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6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 1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2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3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4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5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6"/>
    <w:uiPriority w:val="99"/>
    <w:pPr>
      <w:spacing w:after="0" w:line="240" w:lineRule="auto"/>
      <w:widowControl w:val="off"/>
    </w:pPr>
    <w:rPr>
      <w:rFonts w:ascii="Arial" w:hAnsi="Arial" w:cs="Arial"/>
      <w:color w:val="404040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- Accent 1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2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3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4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5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6"/>
    <w:uiPriority w:val="99"/>
    <w:pPr>
      <w:spacing w:after="0" w:line="240" w:lineRule="auto"/>
      <w:widowControl w:val="off"/>
    </w:pPr>
    <w:rPr>
      <w:rFonts w:ascii="Arial" w:hAnsi="Arial" w:cs="Arial"/>
      <w:lang w:val="ru-RU"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960">
    <w:name w:val="Hyperlink"/>
    <w:basedOn w:val="791"/>
    <w:uiPriority w:val="99"/>
    <w:unhideWhenUsed/>
    <w:rPr>
      <w:rFonts w:ascii="Arial" w:hAnsi="Arial" w:cs="Arial"/>
      <w:color w:val="0000ff"/>
      <w:u w:val="single"/>
    </w:rPr>
  </w:style>
  <w:style w:type="paragraph" w:styleId="961">
    <w:name w:val="footnote text"/>
    <w:basedOn w:val="781"/>
    <w:link w:val="963"/>
    <w:uiPriority w:val="99"/>
    <w:semiHidden/>
    <w:unhideWhenUsed/>
    <w:pPr>
      <w:spacing w:after="40"/>
    </w:pPr>
    <w:rPr>
      <w:rFonts w:ascii="Arial" w:hAnsi="Arial" w:cs="Arial"/>
      <w:sz w:val="18"/>
      <w:szCs w:val="18"/>
    </w:rPr>
  </w:style>
  <w:style w:type="character" w:styleId="962" w:customStyle="1">
    <w:name w:val="Footnote Text Char"/>
    <w:uiPriority w:val="99"/>
    <w:rPr>
      <w:rFonts w:ascii="Arial" w:hAnsi="Arial"/>
      <w:sz w:val="18"/>
    </w:rPr>
  </w:style>
  <w:style w:type="character" w:styleId="963" w:customStyle="1">
    <w:name w:val="Текст сноски Знак"/>
    <w:basedOn w:val="791"/>
    <w:link w:val="961"/>
    <w:uiPriority w:val="99"/>
    <w:semiHidden/>
    <w:rPr>
      <w:rFonts w:cs="Times New Roman"/>
      <w:sz w:val="20"/>
      <w:szCs w:val="20"/>
    </w:rPr>
  </w:style>
  <w:style w:type="character" w:styleId="964">
    <w:name w:val="footnote reference"/>
    <w:basedOn w:val="791"/>
    <w:uiPriority w:val="99"/>
    <w:unhideWhenUsed/>
    <w:rPr>
      <w:rFonts w:ascii="Arial" w:hAnsi="Arial" w:cs="Arial"/>
      <w:vertAlign w:val="superscript"/>
    </w:rPr>
  </w:style>
  <w:style w:type="paragraph" w:styleId="965">
    <w:name w:val="endnote text"/>
    <w:basedOn w:val="781"/>
    <w:link w:val="967"/>
    <w:uiPriority w:val="99"/>
    <w:semiHidden/>
    <w:unhideWhenUsed/>
    <w:rPr>
      <w:rFonts w:ascii="Arial" w:hAnsi="Arial" w:cs="Arial"/>
      <w:sz w:val="20"/>
      <w:szCs w:val="20"/>
    </w:rPr>
  </w:style>
  <w:style w:type="character" w:styleId="966" w:customStyle="1">
    <w:name w:val="Endnote Text Char"/>
    <w:uiPriority w:val="99"/>
    <w:rPr>
      <w:rFonts w:ascii="Arial" w:hAnsi="Arial"/>
      <w:sz w:val="20"/>
    </w:rPr>
  </w:style>
  <w:style w:type="character" w:styleId="967" w:customStyle="1">
    <w:name w:val="Текст концевой сноски Знак"/>
    <w:basedOn w:val="791"/>
    <w:link w:val="965"/>
    <w:uiPriority w:val="99"/>
    <w:semiHidden/>
    <w:rPr>
      <w:rFonts w:cs="Times New Roman"/>
      <w:sz w:val="20"/>
      <w:szCs w:val="20"/>
    </w:rPr>
  </w:style>
  <w:style w:type="character" w:styleId="968">
    <w:name w:val="endnote reference"/>
    <w:basedOn w:val="791"/>
    <w:uiPriority w:val="99"/>
    <w:semiHidden/>
    <w:unhideWhenUsed/>
    <w:rPr>
      <w:rFonts w:ascii="Arial" w:hAnsi="Arial" w:cs="Arial"/>
      <w:vertAlign w:val="superscript"/>
    </w:rPr>
  </w:style>
  <w:style w:type="paragraph" w:styleId="969">
    <w:name w:val="toc 1"/>
    <w:basedOn w:val="781"/>
    <w:next w:val="781"/>
    <w:uiPriority w:val="99"/>
    <w:unhideWhenUsed/>
    <w:pPr>
      <w:spacing w:after="57"/>
    </w:pPr>
    <w:rPr>
      <w:rFonts w:ascii="Arial" w:hAnsi="Arial" w:cs="Arial"/>
    </w:rPr>
  </w:style>
  <w:style w:type="paragraph" w:styleId="970">
    <w:name w:val="toc 2"/>
    <w:basedOn w:val="781"/>
    <w:next w:val="781"/>
    <w:uiPriority w:val="99"/>
    <w:unhideWhenUsed/>
    <w:pPr>
      <w:ind w:left="283"/>
      <w:spacing w:after="57"/>
    </w:pPr>
    <w:rPr>
      <w:rFonts w:ascii="Arial" w:hAnsi="Arial" w:cs="Arial"/>
    </w:rPr>
  </w:style>
  <w:style w:type="paragraph" w:styleId="971">
    <w:name w:val="toc 3"/>
    <w:basedOn w:val="781"/>
    <w:next w:val="781"/>
    <w:uiPriority w:val="99"/>
    <w:unhideWhenUsed/>
    <w:pPr>
      <w:ind w:left="567"/>
      <w:spacing w:after="57"/>
    </w:pPr>
    <w:rPr>
      <w:rFonts w:ascii="Arial" w:hAnsi="Arial" w:cs="Arial"/>
    </w:rPr>
  </w:style>
  <w:style w:type="paragraph" w:styleId="972">
    <w:name w:val="toc 4"/>
    <w:basedOn w:val="781"/>
    <w:next w:val="781"/>
    <w:uiPriority w:val="99"/>
    <w:unhideWhenUsed/>
    <w:pPr>
      <w:ind w:left="850"/>
      <w:spacing w:after="57"/>
    </w:pPr>
    <w:rPr>
      <w:rFonts w:ascii="Arial" w:hAnsi="Arial" w:cs="Arial"/>
    </w:rPr>
  </w:style>
  <w:style w:type="paragraph" w:styleId="973">
    <w:name w:val="toc 5"/>
    <w:basedOn w:val="781"/>
    <w:next w:val="781"/>
    <w:uiPriority w:val="99"/>
    <w:unhideWhenUsed/>
    <w:pPr>
      <w:ind w:left="1134"/>
      <w:spacing w:after="57"/>
    </w:pPr>
    <w:rPr>
      <w:rFonts w:ascii="Arial" w:hAnsi="Arial" w:cs="Arial"/>
    </w:rPr>
  </w:style>
  <w:style w:type="paragraph" w:styleId="974">
    <w:name w:val="toc 6"/>
    <w:basedOn w:val="781"/>
    <w:next w:val="781"/>
    <w:uiPriority w:val="99"/>
    <w:unhideWhenUsed/>
    <w:pPr>
      <w:ind w:left="1417"/>
      <w:spacing w:after="57"/>
    </w:pPr>
    <w:rPr>
      <w:rFonts w:ascii="Arial" w:hAnsi="Arial" w:cs="Arial"/>
    </w:rPr>
  </w:style>
  <w:style w:type="paragraph" w:styleId="975">
    <w:name w:val="toc 7"/>
    <w:basedOn w:val="781"/>
    <w:next w:val="781"/>
    <w:uiPriority w:val="99"/>
    <w:unhideWhenUsed/>
    <w:pPr>
      <w:ind w:left="1701"/>
      <w:spacing w:after="57"/>
    </w:pPr>
    <w:rPr>
      <w:rFonts w:ascii="Arial" w:hAnsi="Arial" w:cs="Arial"/>
    </w:rPr>
  </w:style>
  <w:style w:type="paragraph" w:styleId="976">
    <w:name w:val="toc 8"/>
    <w:basedOn w:val="781"/>
    <w:next w:val="781"/>
    <w:uiPriority w:val="99"/>
    <w:unhideWhenUsed/>
    <w:pPr>
      <w:ind w:left="1984"/>
      <w:spacing w:after="57"/>
    </w:pPr>
    <w:rPr>
      <w:rFonts w:ascii="Arial" w:hAnsi="Arial" w:cs="Arial"/>
    </w:rPr>
  </w:style>
  <w:style w:type="paragraph" w:styleId="977">
    <w:name w:val="toc 9"/>
    <w:basedOn w:val="781"/>
    <w:next w:val="781"/>
    <w:uiPriority w:val="99"/>
    <w:unhideWhenUsed/>
    <w:pPr>
      <w:ind w:left="2268"/>
      <w:spacing w:after="57"/>
    </w:pPr>
    <w:rPr>
      <w:rFonts w:ascii="Arial" w:hAnsi="Arial" w:cs="Arial"/>
    </w:rPr>
  </w:style>
  <w:style w:type="paragraph" w:styleId="978">
    <w:name w:val="TOC Heading"/>
    <w:basedOn w:val="782"/>
    <w:next w:val="781"/>
    <w:uiPriority w:val="99"/>
    <w:qFormat/>
    <w:pPr>
      <w:keepLines w:val="0"/>
      <w:keepNext w:val="0"/>
      <w:spacing w:before="0" w:after="0"/>
      <w:outlineLvl w:val="9"/>
    </w:pPr>
    <w:rPr>
      <w:sz w:val="24"/>
      <w:szCs w:val="24"/>
    </w:rPr>
  </w:style>
  <w:style w:type="paragraph" w:styleId="979">
    <w:name w:val="table of figures"/>
    <w:basedOn w:val="781"/>
    <w:next w:val="781"/>
    <w:uiPriority w:val="99"/>
    <w:unhideWhenUsed/>
    <w:rPr>
      <w:rFonts w:ascii="Arial" w:hAnsi="Arial" w:cs="Arial"/>
    </w:rPr>
  </w:style>
  <w:style w:type="paragraph" w:styleId="980" w:customStyle="1">
    <w:name w:val="ConsPlusNormal"/>
    <w:uiPriority w:val="99"/>
    <w:pPr>
      <w:spacing w:after="0" w:line="240" w:lineRule="auto"/>
      <w:widowControl w:val="off"/>
    </w:pPr>
    <w:rPr>
      <w:rFonts w:ascii="Arial" w:hAnsi="Arial" w:cs="Arial"/>
      <w:sz w:val="16"/>
      <w:szCs w:val="16"/>
      <w:lang w:val="ru-RU" w:eastAsia="ru-RU"/>
    </w:rPr>
  </w:style>
  <w:style w:type="paragraph" w:styleId="981" w:customStyle="1">
    <w:name w:val="ConsPlusNonformat"/>
    <w:uiPriority w:val="99"/>
    <w:pPr>
      <w:spacing w:after="0" w:line="240" w:lineRule="auto"/>
      <w:widowControl w:val="off"/>
    </w:pPr>
    <w:rPr>
      <w:rFonts w:ascii="CourierNew" w:hAnsi="CourierNew" w:cs="CourierNew"/>
      <w:sz w:val="20"/>
      <w:szCs w:val="20"/>
      <w:lang w:val="ru-RU" w:eastAsia="ru-RU"/>
    </w:rPr>
  </w:style>
  <w:style w:type="paragraph" w:styleId="982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983" w:customStyle="1">
    <w:name w:val="ConsPlusCell"/>
    <w:uiPriority w:val="99"/>
    <w:pPr>
      <w:spacing w:after="0" w:line="240" w:lineRule="auto"/>
      <w:widowControl w:val="off"/>
    </w:pPr>
    <w:rPr>
      <w:rFonts w:ascii="CourierNew" w:hAnsi="CourierNew" w:cs="CourierNew"/>
      <w:sz w:val="20"/>
      <w:szCs w:val="20"/>
      <w:lang w:val="ru-RU" w:eastAsia="ru-RU"/>
    </w:rPr>
  </w:style>
  <w:style w:type="paragraph" w:styleId="984" w:customStyle="1">
    <w:name w:val="ConsPlusDocList"/>
    <w:uiPriority w:val="99"/>
    <w:pPr>
      <w:spacing w:after="0" w:line="240" w:lineRule="auto"/>
      <w:widowControl w:val="off"/>
    </w:pPr>
    <w:rPr>
      <w:rFonts w:ascii="CourierNew" w:hAnsi="CourierNew" w:cs="CourierNew"/>
      <w:sz w:val="16"/>
      <w:szCs w:val="16"/>
      <w:lang w:val="ru-RU" w:eastAsia="ru-RU"/>
    </w:rPr>
  </w:style>
  <w:style w:type="paragraph" w:styleId="985" w:customStyle="1">
    <w:name w:val="ConsPlusTitlePage"/>
    <w:uiPriority w:val="99"/>
    <w:pPr>
      <w:spacing w:after="0" w:line="240" w:lineRule="auto"/>
      <w:widowControl w:val="off"/>
    </w:pPr>
    <w:rPr>
      <w:rFonts w:ascii="Tahoma" w:hAnsi="Tahoma" w:cs="Tahoma"/>
      <w:sz w:val="16"/>
      <w:szCs w:val="16"/>
      <w:lang w:val="ru-RU" w:eastAsia="ru-RU"/>
    </w:rPr>
  </w:style>
  <w:style w:type="paragraph" w:styleId="986" w:customStyle="1">
    <w:name w:val="ConsPlusJurTerm"/>
    <w:uiPriority w:val="99"/>
    <w:pPr>
      <w:spacing w:after="0" w:line="240" w:lineRule="auto"/>
      <w:widowControl w:val="off"/>
    </w:pPr>
    <w:rPr>
      <w:rFonts w:ascii="Arial" w:hAnsi="Arial" w:cs="Arial"/>
      <w:sz w:val="26"/>
      <w:szCs w:val="26"/>
      <w:lang w:val="ru-RU" w:eastAsia="ru-RU"/>
    </w:rPr>
  </w:style>
  <w:style w:type="paragraph" w:styleId="987" w:customStyle="1">
    <w:name w:val="ConsPlusTextList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  <w:lang w:val="ru-RU" w:eastAsia="ru-RU"/>
    </w:rPr>
  </w:style>
  <w:style w:type="paragraph" w:styleId="988" w:customStyle="1">
    <w:name w:val="ConsPlusTextList1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  <w:lang w:val="ru-RU" w:eastAsia="ru-RU"/>
    </w:rPr>
  </w:style>
  <w:style w:type="paragraph" w:styleId="989" w:customStyle="1">
    <w:name w:val="ConsPlusNormal1"/>
    <w:uiPriority w:val="99"/>
    <w:pPr>
      <w:contextualSpacing/>
      <w:spacing w:after="0" w:line="240" w:lineRule="auto"/>
      <w:shd w:val="clear" w:color="000000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NewRoman" w:hAnsi="TimesNewRoman" w:cs="TimesNewRoman"/>
      <w:color w:val="000000"/>
      <w:lang w:val="ru-RU" w:eastAsia="ru-RU"/>
    </w:rPr>
  </w:style>
  <w:style w:type="paragraph" w:styleId="990">
    <w:name w:val="Normal (Web)"/>
    <w:basedOn w:val="781"/>
    <w:uiPriority w:val="99"/>
    <w:semiHidden/>
    <w:unhideWhenUsed/>
    <w:pPr>
      <w:contextualSpacing/>
      <w:spacing w:before="100" w:beforeAutospacing="1" w:after="100" w:afterAutospacing="1"/>
      <w:shd w:val="clear" w:color="000000" w:fill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NewRoman" w:hAnsi="TimesNewRoman" w:cs="TimesNewRoman"/>
      <w:color w:val="000000"/>
    </w:rPr>
  </w:style>
  <w:style w:type="paragraph" w:styleId="991">
    <w:name w:val="Revision"/>
    <w:hidden/>
    <w:uiPriority w:val="99"/>
    <w:semiHidden/>
    <w:pPr>
      <w:spacing w:after="0" w:line="240" w:lineRule="auto"/>
    </w:pPr>
    <w:rPr>
      <w:lang w:val="ru-RU" w:eastAsia="ru-RU"/>
    </w:rPr>
  </w:style>
  <w:style w:type="character" w:styleId="992">
    <w:name w:val="annotation reference"/>
    <w:basedOn w:val="791"/>
    <w:uiPriority w:val="99"/>
    <w:semiHidden/>
    <w:unhideWhenUsed/>
    <w:rPr>
      <w:rFonts w:cs="Times New Roman"/>
      <w:sz w:val="16"/>
      <w:szCs w:val="16"/>
    </w:rPr>
  </w:style>
  <w:style w:type="paragraph" w:styleId="993">
    <w:name w:val="annotation text"/>
    <w:basedOn w:val="781"/>
    <w:link w:val="995"/>
    <w:uiPriority w:val="99"/>
    <w:semiHidden/>
    <w:unhideWhenUsed/>
    <w:rPr>
      <w:sz w:val="20"/>
      <w:szCs w:val="20"/>
    </w:rPr>
  </w:style>
  <w:style w:type="paragraph" w:styleId="994">
    <w:name w:val="annotation subject"/>
    <w:basedOn w:val="993"/>
    <w:next w:val="993"/>
    <w:link w:val="996"/>
    <w:uiPriority w:val="99"/>
    <w:semiHidden/>
    <w:unhideWhenUsed/>
    <w:rPr>
      <w:b/>
      <w:bCs/>
    </w:rPr>
  </w:style>
  <w:style w:type="character" w:styleId="995" w:customStyle="1">
    <w:name w:val="Текст примечания Знак"/>
    <w:basedOn w:val="791"/>
    <w:link w:val="993"/>
    <w:uiPriority w:val="99"/>
    <w:semiHidden/>
    <w:rPr>
      <w:rFonts w:cs="Times New Roman"/>
      <w:sz w:val="20"/>
      <w:szCs w:val="20"/>
    </w:rPr>
  </w:style>
  <w:style w:type="character" w:styleId="996" w:customStyle="1">
    <w:name w:val="Тема примечания Знак"/>
    <w:basedOn w:val="995"/>
    <w:link w:val="994"/>
    <w:uiPriority w:val="99"/>
    <w:semiHidden/>
    <w:rPr>
      <w:rFonts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27.07.2021 N 297-п&amp;amp;amp;amp;amp;amp;amp;amp;amp;amp;quot;Об установлении порядка согласования с министерством строительства Новосибирской области проекта решения о комплексном развитии территории жил</dc:title>
  <dc:subject/>
  <dc:creator>a0574@yandex.ru</dc:creator>
  <cp:keywords/>
  <dc:description/>
  <cp:revision>9</cp:revision>
  <dcterms:created xsi:type="dcterms:W3CDTF">2025-04-25T05:00:00Z</dcterms:created>
  <dcterms:modified xsi:type="dcterms:W3CDTF">2025-05-07T10:15:49Z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Р7-Офис/2024.3.1.523</vt:lpwstr>
  </property>
</Properties>
</file>