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6"/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2919"/>
        <w:gridCol w:w="365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84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5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 приказу 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строительства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Новосибирской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области от_____ №___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«УТВЕРЖДЕНЫ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приказом министерства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строительства Новосибирской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области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11.05.2023 № 244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</w:tbl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</w:pPr>
      <w:r/>
      <w:r/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ТРЕБОВАНИЯ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 земельным участкам, планируемым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для строительства объектов социальной инфраструктуры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 Размер земельных участков, планируемых для строительства объектов здравоохранения (поликлиники, фельдшерско-акушерские пункты), дошкольных образовательных организаций, общеобразовательных организаций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объекты социальной инфраструктуры), определяе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тся в соответствии со следующими расчетами: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tbl>
      <w:tblPr>
        <w:tblStyle w:val="876"/>
        <w:tblW w:w="0" w:type="auto"/>
        <w:tblInd w:w="147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3937"/>
        <w:gridCol w:w="2368"/>
      </w:tblGrid>
      <w:tr>
        <w:tblPrEx/>
        <w:trPr>
          <w:trHeight w:val="525"/>
        </w:trPr>
        <w:tc>
          <w:tcPr>
            <w:tcW w:w="3623" w:type="dxa"/>
            <w:textDirection w:val="lrTb"/>
            <w:noWrap w:val="false"/>
          </w:tcPr>
          <w:p>
            <w:pPr>
              <w:pStyle w:val="877"/>
              <w:ind w:left="960" w:hanging="406"/>
              <w:spacing w:line="264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Вид объекта социальной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инфраструктуры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gridSpan w:val="2"/>
            <w:tcW w:w="6305" w:type="dxa"/>
            <w:textDirection w:val="lrTb"/>
            <w:noWrap w:val="false"/>
          </w:tcPr>
          <w:p>
            <w:pPr>
              <w:pStyle w:val="877"/>
              <w:ind w:left="1024" w:right="972"/>
              <w:jc w:val="center"/>
              <w:spacing w:before="5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Минимальный</w:t>
            </w:r>
            <w:r>
              <w:rPr>
                <w:rFonts w:ascii="Times New Roman" w:hAnsi="Times New Roman" w:eastAsia="Times New Roman" w:cs="Times New Roman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размер</w:t>
            </w:r>
            <w:r>
              <w:rPr>
                <w:rFonts w:ascii="Times New Roman" w:hAnsi="Times New Roman" w:eastAsia="Times New Roman" w:cs="Times New Roman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земельного</w:t>
            </w:r>
            <w:r>
              <w:rPr>
                <w:rFonts w:ascii="Times New Roman" w:hAnsi="Times New Roman" w:eastAsia="Times New Roman" w:cs="Times New Roman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участка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530"/>
        </w:trPr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877"/>
              <w:spacing w:before="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7"/>
              <w:ind w:left="108" w:right="500" w:hanging="10"/>
              <w:spacing w:line="252" w:lineRule="auto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Дошкольные</w:t>
            </w:r>
            <w:r>
              <w:rPr>
                <w:rFonts w:ascii="Times New Roman" w:hAnsi="Times New Roman" w:eastAsia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образовательные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организации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09" w:right="66"/>
              <w:jc w:val="center"/>
              <w:spacing w:before="3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мощность,</w:t>
            </w:r>
            <w:r>
              <w:rPr>
                <w:rFonts w:ascii="Times New Roman" w:hAnsi="Times New Roman" w:eastAsia="Times New Roman" w:cs="Times New Roman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мест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left="350" w:right="292"/>
              <w:jc w:val="center"/>
              <w:spacing w:before="3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обеспеченность,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  <w:p>
            <w:pPr>
              <w:pStyle w:val="877"/>
              <w:ind w:left="348" w:right="292"/>
              <w:jc w:val="center"/>
              <w:spacing w:before="13" w:line="230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кв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/место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09" w:right="66"/>
              <w:jc w:val="center"/>
              <w:spacing w:before="4" w:line="238" w:lineRule="exact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45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b/>
                <w:sz w:val="23"/>
              </w:rPr>
            </w:r>
            <w:r>
              <w:rPr>
                <w:rFonts w:ascii="Times New Roman" w:hAnsi="Times New Roman" w:cs="Times New Roman"/>
                <w:b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16"/>
              <w:jc w:val="right"/>
              <w:spacing w:before="5" w:line="237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47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11" w:right="66"/>
              <w:jc w:val="center"/>
              <w:spacing w:line="228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свыше</w:t>
            </w: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17"/>
              <w:jc w:val="right"/>
              <w:spacing w:before="5" w:line="222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35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11" w:right="66"/>
              <w:jc w:val="center"/>
              <w:spacing w:before="5" w:line="230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комплексе</w:t>
            </w: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организаций</w:t>
            </w:r>
            <w:r>
              <w:rPr>
                <w:rFonts w:ascii="Times New Roman" w:hAnsi="Times New Roman" w:eastAsia="Times New Roman" w:cs="Times New Roman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свыше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17"/>
              <w:jc w:val="right"/>
              <w:spacing w:before="12" w:line="222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30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691" w:hanging="368"/>
              <w:jc w:val="center"/>
              <w:spacing w:before="5" w:line="252" w:lineRule="auto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размер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групповой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площадки</w:t>
            </w:r>
            <w:r>
              <w:rPr>
                <w:rFonts w:ascii="Times New Roman" w:hAnsi="Times New Roman" w:eastAsia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детей ясельного возраста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988"/>
              <w:jc w:val="right"/>
              <w:spacing w:before="12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3,5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554"/>
        </w:trPr>
        <w:tc>
          <w:tcPr>
            <w:tcW w:w="3623" w:type="dxa"/>
            <w:vMerge w:val="restart"/>
            <w:textDirection w:val="lrTb"/>
            <w:noWrap w:val="false"/>
          </w:tcPr>
          <w:p>
            <w:pPr>
              <w:pStyle w:val="8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77"/>
              <w:ind w:left="108" w:right="70"/>
              <w:spacing w:line="252" w:lineRule="auto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Общеобразовательные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организации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gridSpan w:val="2"/>
            <w:tcW w:w="6305" w:type="dxa"/>
            <w:textDirection w:val="lrTb"/>
            <w:noWrap w:val="false"/>
          </w:tcPr>
          <w:p>
            <w:pPr>
              <w:pStyle w:val="877"/>
              <w:ind w:left="112"/>
              <w:spacing w:line="263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При</w:t>
            </w:r>
            <w:r>
              <w:rPr>
                <w:rFonts w:ascii="Times New Roman" w:hAnsi="Times New Roman" w:eastAsia="Times New Roman" w:cs="Times New Roman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вместимости</w:t>
            </w:r>
            <w:r>
              <w:rPr>
                <w:rFonts w:ascii="Times New Roman" w:hAnsi="Times New Roman" w:eastAsia="Times New Roman" w:cs="Times New Roman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организации,</w:t>
            </w:r>
            <w:r>
              <w:rPr>
                <w:rFonts w:ascii="Times New Roman" w:hAnsi="Times New Roman" w:eastAsia="Times New Roman" w:cs="Times New Roman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учащихся</w:t>
            </w:r>
            <w:r>
              <w:rPr>
                <w:rFonts w:ascii="Times New Roman" w:hAnsi="Times New Roman" w:eastAsia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  <w:p>
            <w:pPr>
              <w:pStyle w:val="877"/>
              <w:ind w:left="111"/>
              <w:spacing w:before="6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кв.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м/учащийся: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11" w:right="61"/>
              <w:jc w:val="center"/>
              <w:spacing w:line="199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от40</w:t>
            </w: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400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09"/>
              <w:jc w:val="right"/>
              <w:spacing w:line="199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50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11" w:right="54"/>
              <w:jc w:val="center"/>
              <w:spacing w:before="12" w:line="230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401</w:t>
            </w:r>
            <w:r>
              <w:rPr>
                <w:rFonts w:ascii="Times New Roman" w:hAnsi="Times New Roman" w:eastAsia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500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09"/>
              <w:jc w:val="right"/>
              <w:spacing w:before="12" w:line="230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40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11" w:right="53"/>
              <w:jc w:val="center"/>
              <w:spacing w:line="235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501 до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600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04"/>
              <w:jc w:val="right"/>
              <w:spacing w:line="235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33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47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11" w:right="51"/>
              <w:jc w:val="center"/>
              <w:spacing w:line="228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601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800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08"/>
              <w:jc w:val="right"/>
              <w:spacing w:line="228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11" w:right="60"/>
              <w:jc w:val="center"/>
              <w:spacing w:before="5" w:line="230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801 до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1100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10"/>
              <w:jc w:val="right"/>
              <w:spacing w:line="235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21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11" w:right="62"/>
              <w:jc w:val="center"/>
              <w:spacing w:line="235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1101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1600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10"/>
              <w:jc w:val="right"/>
              <w:spacing w:line="235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20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none" w:color="000000" w:sz="4" w:space="0"/>
            </w:tcBorders>
            <w:tcW w:w="362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3937" w:type="dxa"/>
            <w:textDirection w:val="lrTb"/>
            <w:noWrap w:val="false"/>
          </w:tcPr>
          <w:p>
            <w:pPr>
              <w:pStyle w:val="877"/>
              <w:ind w:left="111" w:right="56"/>
              <w:jc w:val="center"/>
              <w:spacing w:before="5" w:line="237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свыше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1600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tcW w:w="2368" w:type="dxa"/>
            <w:textDirection w:val="lrTb"/>
            <w:noWrap w:val="false"/>
          </w:tcPr>
          <w:p>
            <w:pPr>
              <w:pStyle w:val="877"/>
              <w:ind w:right="1003"/>
              <w:jc w:val="right"/>
              <w:spacing w:before="5" w:line="237" w:lineRule="exact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18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1901"/>
        </w:trPr>
        <w:tc>
          <w:tcPr>
            <w:tcW w:w="3623" w:type="dxa"/>
            <w:textDirection w:val="lrTb"/>
            <w:noWrap w:val="false"/>
          </w:tcPr>
          <w:p>
            <w:pPr>
              <w:pStyle w:val="877"/>
              <w:ind w:left="108" w:right="70" w:firstLine="6"/>
              <w:spacing w:line="244" w:lineRule="auto"/>
              <w:tabs>
                <w:tab w:val="left" w:pos="1406" w:leader="none"/>
                <w:tab w:val="left" w:pos="2024" w:leader="none"/>
                <w:tab w:val="left" w:pos="2108" w:leader="none"/>
                <w:tab w:val="left" w:pos="2174" w:leader="none"/>
              </w:tabs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Лечебно-профилактические медицинские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8"/>
                <w:szCs w:val="28"/>
              </w:rPr>
              <w:t xml:space="preserve"> организации,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оказ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ыв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ающие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8"/>
                <w:szCs w:val="28"/>
              </w:rPr>
              <w:t xml:space="preserve"> медицинскую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помощь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амбулаторных условия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х(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поликлиники)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gridSpan w:val="2"/>
            <w:tcW w:w="6305" w:type="dxa"/>
            <w:textDirection w:val="lrTb"/>
            <w:noWrap w:val="false"/>
          </w:tcPr>
          <w:p>
            <w:pPr>
              <w:pStyle w:val="877"/>
              <w:ind w:left="120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</w:t>
            </w:r>
            <w:r>
              <w:rPr>
                <w:rFonts w:ascii="Times New Roman" w:hAnsi="Times New Roman" w:eastAsia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посещений</w:t>
            </w:r>
            <w:r>
              <w:rPr>
                <w:rFonts w:ascii="Times New Roman" w:hAnsi="Times New Roman" w:eastAsia="Times New Roman" w:cs="Times New Roman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смену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8"/>
                <w:szCs w:val="28"/>
              </w:rPr>
              <w:t xml:space="preserve">га,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  <w:p>
            <w:pPr>
              <w:pStyle w:val="877"/>
              <w:ind w:left="125"/>
              <w:spacing w:before="7" w:line="244" w:lineRule="auto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</w:t>
            </w:r>
            <w:r>
              <w:rPr>
                <w:rFonts w:ascii="Times New Roman" w:hAnsi="Times New Roman" w:eastAsia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менее</w:t>
            </w:r>
            <w:r>
              <w:rPr>
                <w:rFonts w:ascii="Times New Roman" w:hAnsi="Times New Roman" w:eastAsia="Times New Roman" w:cs="Times New Roman"/>
                <w:spacing w:val="8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pacing w:val="8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spacing w:val="8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pacing w:val="8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для</w:t>
            </w:r>
            <w:r>
              <w:rPr>
                <w:rFonts w:ascii="Times New Roman" w:hAnsi="Times New Roman" w:eastAsia="Times New Roman" w:cs="Times New Roman"/>
                <w:spacing w:val="8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отдельно</w:t>
            </w:r>
            <w:r>
              <w:rPr>
                <w:rFonts w:ascii="Times New Roman" w:hAnsi="Times New Roman" w:eastAsia="Times New Roman" w:cs="Times New Roman"/>
                <w:spacing w:val="8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стоящего</w:t>
            </w:r>
            <w:r>
              <w:rPr>
                <w:rFonts w:ascii="Times New Roman" w:hAnsi="Times New Roman" w:eastAsia="Times New Roman" w:cs="Times New Roman"/>
                <w:spacing w:val="80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position w:val="1"/>
                <w:sz w:val="28"/>
                <w:szCs w:val="28"/>
              </w:rPr>
              <w:t xml:space="preserve">здания,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встроенные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0,2 га на объект.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  <w:tr>
        <w:tblPrEx/>
        <w:trPr>
          <w:trHeight w:val="1651"/>
        </w:trPr>
        <w:tc>
          <w:tcPr>
            <w:tcW w:w="3623" w:type="dxa"/>
            <w:textDirection w:val="lrTb"/>
            <w:noWrap w:val="false"/>
          </w:tcPr>
          <w:p>
            <w:pPr>
              <w:pStyle w:val="877"/>
              <w:ind w:left="111" w:right="70" w:firstLine="3"/>
              <w:spacing w:before="12" w:line="242" w:lineRule="auto"/>
              <w:tabs>
                <w:tab w:val="left" w:pos="1416" w:leader="none"/>
                <w:tab w:val="left" w:pos="2034" w:leader="none"/>
                <w:tab w:val="left" w:pos="2097" w:leader="none"/>
                <w:tab w:val="left" w:pos="2177" w:leader="none"/>
              </w:tabs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Лечебно-профилактические медицинские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8"/>
                <w:szCs w:val="28"/>
              </w:rPr>
              <w:t xml:space="preserve"> организации,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оказывающие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8"/>
                <w:szCs w:val="28"/>
              </w:rPr>
              <w:t xml:space="preserve"> медицинскую 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помощь</w:t>
            </w:r>
            <w:r>
              <w:rPr>
                <w:rFonts w:ascii="Times New Roman" w:hAnsi="Times New Roman" w:eastAsia="Times New Roman" w:cs="Times New Roman"/>
                <w:spacing w:val="-1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 амбулаторных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  <w:p>
            <w:pPr>
              <w:pStyle w:val="877"/>
              <w:ind w:left="116" w:right="79" w:firstLine="1"/>
              <w:spacing w:line="270" w:lineRule="exact"/>
              <w:tabs>
                <w:tab w:val="left" w:pos="2004" w:leader="none"/>
              </w:tabs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8"/>
                <w:szCs w:val="28"/>
              </w:rPr>
              <w:t xml:space="preserve">условиях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фельдшерск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акушерские пункты)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  <w:tc>
          <w:tcPr>
            <w:gridSpan w:val="2"/>
            <w:tcW w:w="6305" w:type="dxa"/>
            <w:textDirection w:val="lrTb"/>
            <w:noWrap w:val="false"/>
          </w:tcPr>
          <w:p>
            <w:pPr>
              <w:pStyle w:val="877"/>
              <w:ind w:left="123" w:right="1039" w:firstLine="3"/>
              <w:spacing w:line="252" w:lineRule="auto"/>
              <w:rPr>
                <w:rFonts w:ascii="Times New Roman" w:hAnsi="Times New Roman" w:cs="Times New Roman"/>
                <w:sz w:val="23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Без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жилого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модуля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менее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1700</w:t>
            </w:r>
            <w:r>
              <w:rPr>
                <w:rFonts w:ascii="Times New Roman" w:hAnsi="Times New Roman" w:eastAsia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(0,17</w:t>
            </w:r>
            <w:r>
              <w:rPr>
                <w:rFonts w:ascii="Times New Roman" w:hAnsi="Times New Roman" w:eastAsia="Times New Roman" w:cs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га); с жилым модулем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менее 2000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кв.м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(0,2 га).</w:t>
            </w:r>
            <w:r>
              <w:rPr>
                <w:rFonts w:ascii="Times New Roman" w:hAnsi="Times New Roman" w:cs="Times New Roman"/>
                <w:sz w:val="23"/>
              </w:rPr>
            </w:r>
            <w:r>
              <w:rPr>
                <w:rFonts w:ascii="Times New Roman" w:hAnsi="Times New Roman" w:cs="Times New Roman"/>
                <w:sz w:val="23"/>
              </w:rPr>
            </w:r>
          </w:p>
        </w:tc>
      </w:tr>
    </w:tbl>
    <w:p>
      <w:pPr>
        <w:pStyle w:val="878"/>
        <w:ind w:left="239" w:firstLine="4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239" w:firstLine="481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4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9723120</wp:posOffset>
                </wp:positionV>
                <wp:extent cx="0" cy="516890"/>
                <wp:effectExtent l="0" t="0" r="0" b="0"/>
                <wp:wrapNone/>
                <wp:docPr id="1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51688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A1A1A1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266864640;mso-wrap-distance-left:9.00pt;mso-wrap-distance-top:0.00pt;mso-wrap-distance-right:9.00pt;mso-wrap-distance-bottom:0.00pt;visibility:visible;" from="0.0pt,765.6pt" to="0.0pt,806.3pt" fillcolor="#FFFFFF" strokecolor="#A1A1A1" strokeweight="0.00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5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445" cy="4401820"/>
                <wp:effectExtent l="0" t="0" r="0" b="0"/>
                <wp:wrapNone/>
                <wp:docPr id="2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43" cy="44018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66865152;o:allowoverlap:true;o:allowincell:true;mso-position-horizontal-relative:page;margin-left:0.00pt;mso-position-horizontal:absolute;mso-position-vertical-relative:page;margin-top:0.00pt;mso-position-vertical:absolute;width:0.35pt;height:346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6686617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10666095</wp:posOffset>
                </wp:positionV>
                <wp:extent cx="6899910" cy="0"/>
                <wp:effectExtent l="0" t="0" r="0" b="0"/>
                <wp:wrapNone/>
                <wp:docPr id="3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899908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3599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" o:spid="_x0000_s2" style="position:absolute;left:0;text-align:left;z-index:266866176;mso-wrap-distance-left:9.00pt;mso-wrap-distance-top:0.00pt;mso-wrap-distance-right:9.00pt;mso-wrap-distance-bottom:0.00pt;visibility:visible;" from="0.0pt,839.8pt" to="543.3pt,839.8pt" fillcolor="#FFFFFF" strokecolor="#000000" strokeweight="1.07pt"/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Территориальная зона, в границах которой расположен земельный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участок, должна предусматривать размещение объекта социальной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инфраструктуры в соответствии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правилами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землепользования и застройки.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pStyle w:val="878"/>
        <w:ind w:left="205" w:right="132" w:firstLine="698"/>
        <w:jc w:val="both"/>
        <w:spacing w:before="6" w:line="256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Градостроительный регламент для территориальной зоны, в границах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которой расположен земельный участок в соответствии с правилами землепользования и застройки, а именно,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вид разрешенного использования, предельные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позволять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размещение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планируемого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объекта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социальной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инфраструктуры.</w:t>
      </w:r>
      <w:r>
        <w:rPr>
          <w:rFonts w:ascii="Times New Roman" w:hAnsi="Times New Roman" w:cs="Times New Roman"/>
          <w:spacing w:val="-2"/>
        </w:rPr>
      </w:r>
      <w:r>
        <w:rPr>
          <w:rFonts w:ascii="Times New Roman" w:hAnsi="Times New Roman" w:cs="Times New Roman"/>
          <w:spacing w:val="-2"/>
        </w:rPr>
      </w:r>
    </w:p>
    <w:p>
      <w:pPr>
        <w:pStyle w:val="878"/>
        <w:ind w:left="205" w:right="132" w:firstLine="698"/>
        <w:jc w:val="both"/>
        <w:spacing w:before="6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наименованиях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видов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разрешенного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использования земельных участков, содержащиеся в Едином государственном реестре недвижимости, должны соответствовать классификатору видов разрешенного использования земельных участков, утвержденному приказом Федеральной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службы</w:t>
      </w:r>
      <w:r>
        <w:rPr>
          <w:rFonts w:ascii="Times New Roman" w:hAnsi="Times New Roman" w:eastAsia="Times New Roman" w:cs="Times New Roman"/>
          <w:spacing w:val="7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государственной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регистрации,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кадастра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картографии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10.11.2020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spacing w:val="-19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/0412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(«здравоохранение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(3.4)»;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«амбулаторно-поликлиническое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обслуживание (3.4.1)»; «образование и просвещение (3.5)»; «дошкольное,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начальное и среднее общее образование (3.5.1)», в случае необходимости строительства инженерных сетей и технологически связанных с ними зданий, строений и сооружений,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«коммунальное обслуживание (3.1)», «предоставление коммунальных услуг (3.1.1)»).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213" w:right="104" w:firstLine="507"/>
        <w:jc w:val="both"/>
        <w:spacing w:line="25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Земельные участки должны быть обеспечены централизованными сетями инженерно-технического обеспечения систем инженерно-технического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обеспечения (водоснабжение, электроснабжение)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вода в сетях водоснабжения должна соответствовать санитарно-эпидемиологическим требованиям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u w:val="single"/>
        </w:rPr>
      </w:r>
      <w:r>
        <w:rPr>
          <w:rFonts w:ascii="Times New Roman" w:hAnsi="Times New Roman" w:cs="Times New Roman"/>
          <w:b/>
          <w:u w:val="single"/>
        </w:rPr>
      </w:r>
    </w:p>
    <w:p>
      <w:pPr>
        <w:pStyle w:val="878"/>
        <w:ind w:left="213" w:right="104" w:firstLine="507"/>
        <w:jc w:val="both"/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Земельные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участки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должны</w:t>
      </w:r>
      <w:r>
        <w:rPr>
          <w:rFonts w:ascii="Times New Roman" w:hAnsi="Times New Roman" w:eastAsia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быть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свободны: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227" w:right="128" w:firstLine="686"/>
        <w:jc w:val="both"/>
        <w:spacing w:before="29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застройки (отсутствие подземных и надземных объектов), а также древесно-кустарниковой растительности, демонтаж и устранение которых увеличивает стоимость и сроки строительства;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227" w:right="127" w:firstLine="686"/>
        <w:jc w:val="both"/>
        <w:spacing w:before="4" w:line="259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прав трет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ьих лиц, не иметь ограничения, обременения (сервитуты) и заявленные в судебном порядке права требования, сведения о возражении в отношении зарегистрированного права, сведения о наличии решения об изъятии объекта недвижимости для государственных и муниципал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ьных нужд и другие сведения, препятствующие надлежащему строительству объектов социальной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 xml:space="preserve">инфраструктуры.</w:t>
      </w:r>
      <w:r>
        <w:rPr>
          <w:rFonts w:ascii="Times New Roman" w:hAnsi="Times New Roman" w:cs="Times New Roman"/>
          <w:spacing w:val="-2"/>
        </w:rPr>
      </w:r>
      <w:r>
        <w:rPr>
          <w:rFonts w:ascii="Times New Roman" w:hAnsi="Times New Roman" w:cs="Times New Roman"/>
          <w:spacing w:val="-2"/>
        </w:rPr>
      </w:r>
    </w:p>
    <w:p>
      <w:pPr>
        <w:pStyle w:val="878"/>
        <w:ind w:left="227" w:right="127" w:firstLine="686"/>
        <w:jc w:val="both"/>
        <w:spacing w:before="4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 территории земельных участков не должны проходить магистральные инженерные коммуникации и охранные зоны инженерных коммуникаций: водо-, тепло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электро-,</w:t>
      </w:r>
      <w:r>
        <w:rPr>
          <w:rFonts w:ascii="Times New Roman" w:hAnsi="Times New Roman" w:eastAsia="Times New Roman" w:cs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газоснабжения, канализационные сети, кабели</w:t>
      </w:r>
      <w:r>
        <w:rPr>
          <w:rFonts w:ascii="Times New Roman" w:hAnsi="Times New Roman" w:eastAsia="Times New Roman" w:cs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связи и иные сети.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Земельные участки должны иметь правильную квадратную или прямоугольную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форму, при этом ширина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любой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 сторон должна быть не менее 35-40 метров.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850"/>
        <w:jc w:val="both"/>
        <w:rPr>
          <w:rFonts w:ascii="Times New Roman" w:hAnsi="Times New Roman" w:eastAsia="Times New Roman" w:cs="Times New Roman"/>
          <w:b w:val="0"/>
          <w:bCs w:val="0"/>
          <w:color w:val="e36c0a"/>
          <w:sz w:val="26"/>
          <w:szCs w:val="26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Земельные участки не должны располагаться в болотистой местности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крутых склонах холмов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(косогор),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краю оврагов. По рельефу земельные участки должны быть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уклон не должен превышать 1%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e36c0a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color w:val="e36c0a"/>
          <w:sz w:val="26"/>
          <w:szCs w:val="26"/>
        </w:rPr>
      </w:r>
    </w:p>
    <w:p>
      <w:pPr>
        <w:ind w:left="0" w:right="0" w:firstLine="850"/>
        <w:jc w:val="both"/>
        <w:spacing w:before="0" w:after="0"/>
        <w:shd w:val="clear" w:color="ffffff" w:themeColor="background1" w:fill="ffffff" w:themeFill="background1"/>
        <w:tabs>
          <w:tab w:val="right" w:pos="9780" w:leader="none"/>
        </w:tabs>
        <w:rPr>
          <w:rFonts w:ascii="Times New Roman" w:hAnsi="Times New Roman" w:cs="Times New Roman"/>
          <w:b w:val="0"/>
          <w:bCs w:val="0"/>
          <w:color w:val="e36c0a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e36c0a"/>
          <w:sz w:val="26"/>
          <w:szCs w:val="26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участ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 должны проходить ручьи и водоотводные канавы.</w:t>
      </w:r>
      <w:r>
        <w:rPr>
          <w:rFonts w:ascii="Times New Roman" w:hAnsi="Times New Roman" w:cs="Times New Roman"/>
          <w:b w:val="0"/>
          <w:bCs w:val="0"/>
          <w:color w:val="e36c0a"/>
          <w:sz w:val="26"/>
          <w:szCs w:val="26"/>
        </w:rPr>
      </w:r>
      <w:r/>
    </w:p>
    <w:p>
      <w:pPr>
        <w:ind w:left="0" w:right="0" w:firstLine="850"/>
        <w:jc w:val="both"/>
        <w:spacing w:before="0" w:after="0"/>
        <w:shd w:val="clear" w:color="ffffff" w:fill="ffffff"/>
        <w:rPr>
          <w:rFonts w:ascii="Calibri" w:hAnsi="Calibri" w:eastAsia="Calibri" w:cs="Calibri"/>
          <w:b w:val="0"/>
          <w:bCs w:val="0"/>
          <w:color w:val="e36c0a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Calibri" w:hAnsi="Calibri" w:eastAsia="Calibri" w:cs="Calibri"/>
          <w:b w:val="0"/>
          <w:bCs w:val="0"/>
          <w:color w:val="e36c0a"/>
          <w:sz w:val="26"/>
          <w:szCs w:val="26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10. 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Земельные участки не должны располагаться в лесном массиве. </w:t>
      </w:r>
      <w:r>
        <w:rPr>
          <w:rFonts w:ascii="Calibri" w:hAnsi="Calibri" w:eastAsia="Calibri" w:cs="Calibri"/>
          <w:b w:val="0"/>
          <w:bCs w:val="0"/>
          <w:color w:val="e36c0a"/>
          <w:sz w:val="26"/>
          <w:szCs w:val="26"/>
        </w:rPr>
      </w:r>
      <w:r/>
    </w:p>
    <w:p>
      <w:pPr>
        <w:pStyle w:val="873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Земельные участки не должны располагаться в границах нормативных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расстояний зон с особыми условиями исп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ользования территорий промышленных объектов и производств соответствующего класса опасности, автозаправочных станций, нефтепроводов, железнодорожных путей, автомобильных дорог федерального значения, магистральных автомобильных дорог межрайонного значения,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отстойно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-разворотных площадок автомобильного транспорта, а также санитарных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разрывах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опасных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коммуникаций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(автомобильных, железнодорожных, трубопроводных и т.п.).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земельному участку должен быть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обеспечен подъездной путь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покрытием, обеспечивающим круглогодичный доступ на земельный участок,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форма участка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должна позволять обеспечивать подъезд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пожарных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автомобилей к размещаемым на данном участке объектам в нормируемых расстояниях согласно противопожарным нормативам Российской Федерации в пределах участка.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227" w:right="127" w:firstLine="686"/>
        <w:jc w:val="both"/>
        <w:spacing w:before="4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13. 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Земельный участок не</w:t>
      </w:r>
      <w:r>
        <w:rPr>
          <w:rFonts w:ascii="Times New Roman" w:hAnsi="Times New Roman" w:eastAsia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должен находиться в границах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водоохранных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зон, охранных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зон сетей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инженерно-технического обеспечения,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прибрежных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защитных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полос,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зон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затопления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подтопления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других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зон с особыми условиями использования территории (установленных в соответствии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действующим законодательством, либо обозначенных в документах территориального планирования, либо подлежащих установлению в связи с расположением, строительством или реконструкцией объектов), не допускающих строительство объектов социальной инфраструктуры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в границах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охранных зон объектов культурного наследия включенных в единый государственный реестр объектов культурного наследия, выявленных объектов культурного наследия, объектов археологического наследия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8"/>
        <w:ind w:left="227" w:right="127" w:firstLine="686"/>
        <w:jc w:val="both"/>
        <w:spacing w:before="4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случае, если строительство объектов социальной инфраструктуры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будет осуществляться за счет средств областного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(или) федерального бюджета, на земельные участки должно быть зарегистрировано право собственности Новосибирской области и право постоянного (бессрочного) пользования профильного государственного учреждения Новосибирской области, которое</w:t>
      </w:r>
      <w:r>
        <w:rPr>
          <w:rFonts w:ascii="Times New Roman" w:hAnsi="Times New Roman" w:eastAsia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будет являться правообладателем планируемого к строительству объекта социальной инфраструктуры.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ind w:left="0" w:righ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_________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r/>
      <w:r/>
    </w:p>
    <w:sectPr>
      <w:headerReference w:type="default" r:id="rId8"/>
      <w:headerReference w:type="first" r:id="rId9"/>
      <w:footerReference w:type="first" r:id="rId10"/>
      <w:footnotePr/>
      <w:endnotePr/>
      <w:type w:val="nextPage"/>
      <w:pgSz w:w="11906" w:h="16838" w:orient="portrait"/>
      <w:pgMar w:top="1134" w:right="850" w:bottom="113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</w:pPr>
    <w:fldSimple w:instr="PAGE \* MERGEFORMAT">
      <w:r>
        <w:rPr>
          <w:rFonts w:ascii="Times New Roman" w:hAnsi="Times New Roman" w:eastAsia="Times New Roman" w:cs="Times New Roman"/>
          <w:sz w:val="20"/>
          <w:szCs w:val="20"/>
        </w:rPr>
        <w:t xml:space="preserve">1</w:t>
      </w:r>
    </w:fldSimple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eastAsia="Times New Roman" w:cs="Times New Roman"/>
        <w:sz w:val="20"/>
        <w:szCs w:val="20"/>
      </w:rPr>
    </w:r>
    <w:r/>
  </w:p>
  <w:p>
    <w:pPr>
      <w:pStyle w:val="7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0"/>
    <w:next w:val="870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0"/>
    <w:next w:val="870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0"/>
    <w:next w:val="870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870"/>
    <w:next w:val="870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>
    <w:name w:val="Title Char"/>
    <w:link w:val="712"/>
    <w:uiPriority w:val="10"/>
    <w:rPr>
      <w:sz w:val="48"/>
      <w:szCs w:val="48"/>
    </w:rPr>
  </w:style>
  <w:style w:type="paragraph" w:styleId="714">
    <w:name w:val="Subtitle"/>
    <w:basedOn w:val="870"/>
    <w:next w:val="870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>
    <w:name w:val="Subtitle Char"/>
    <w:link w:val="714"/>
    <w:uiPriority w:val="11"/>
    <w:rPr>
      <w:sz w:val="24"/>
      <w:szCs w:val="24"/>
    </w:rPr>
  </w:style>
  <w:style w:type="paragraph" w:styleId="716">
    <w:name w:val="Quote"/>
    <w:basedOn w:val="870"/>
    <w:next w:val="870"/>
    <w:link w:val="717"/>
    <w:uiPriority w:val="29"/>
    <w:qFormat/>
    <w:pPr>
      <w:ind w:left="720" w:right="720"/>
    </w:pPr>
    <w:rPr>
      <w:i/>
    </w:rPr>
  </w:style>
  <w:style w:type="character" w:styleId="717">
    <w:name w:val="Quote Char"/>
    <w:link w:val="716"/>
    <w:uiPriority w:val="29"/>
    <w:rPr>
      <w:i/>
    </w:rPr>
  </w:style>
  <w:style w:type="paragraph" w:styleId="718">
    <w:name w:val="Intense Quote"/>
    <w:basedOn w:val="870"/>
    <w:next w:val="870"/>
    <w:link w:val="7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>
    <w:name w:val="Intense Quote Char"/>
    <w:link w:val="718"/>
    <w:uiPriority w:val="30"/>
    <w:rPr>
      <w:i/>
    </w:rPr>
  </w:style>
  <w:style w:type="paragraph" w:styleId="720">
    <w:name w:val="Header"/>
    <w:basedOn w:val="870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Header Char"/>
    <w:link w:val="720"/>
    <w:uiPriority w:val="99"/>
  </w:style>
  <w:style w:type="paragraph" w:styleId="722">
    <w:name w:val="Footer"/>
    <w:basedOn w:val="870"/>
    <w:link w:val="7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Footer Char"/>
    <w:link w:val="722"/>
    <w:uiPriority w:val="99"/>
  </w:style>
  <w:style w:type="paragraph" w:styleId="724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5">
    <w:name w:val="Caption Char"/>
    <w:basedOn w:val="724"/>
    <w:link w:val="722"/>
    <w:uiPriority w:val="99"/>
  </w:style>
  <w:style w:type="table" w:styleId="726">
    <w:name w:val="Table Grid"/>
    <w:basedOn w:val="87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table" w:styleId="87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2" w:default="1">
    <w:name w:val="No List"/>
    <w:uiPriority w:val="99"/>
    <w:semiHidden/>
    <w:unhideWhenUsed/>
  </w:style>
  <w:style w:type="paragraph" w:styleId="873">
    <w:name w:val="No Spacing"/>
    <w:basedOn w:val="870"/>
    <w:uiPriority w:val="1"/>
    <w:qFormat/>
    <w:pPr>
      <w:spacing w:after="0" w:line="240" w:lineRule="auto"/>
    </w:pPr>
  </w:style>
  <w:style w:type="paragraph" w:styleId="874">
    <w:name w:val="List Paragraph"/>
    <w:basedOn w:val="870"/>
    <w:uiPriority w:val="34"/>
    <w:qFormat/>
    <w:pPr>
      <w:contextualSpacing/>
      <w:ind w:left="720"/>
    </w:pPr>
  </w:style>
  <w:style w:type="character" w:styleId="875" w:default="1">
    <w:name w:val="Default Paragraph Font"/>
    <w:uiPriority w:val="1"/>
    <w:semiHidden/>
    <w:unhideWhenUsed/>
  </w:style>
  <w:style w:type="table" w:styleId="876" w:customStyle="1">
    <w:name w:val="Table Normal"/>
    <w:uiPriority w:val="2"/>
    <w:semiHidden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en-US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877" w:customStyle="1">
    <w:name w:val="Table Paragraph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78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2025-03-26T10:17:01Z</dcterms:modified>
</cp:coreProperties>
</file>