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221604152"/>
      <w:r/>
      <w:bookmarkStart w:id="1" w:name="_Toc16665049"/>
      <w:r/>
      <w:bookmarkStart w:id="2" w:name="_Toc16665780"/>
      <w:r/>
      <w:bookmarkStart w:id="3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vAlign w:val="top"/>
            <w:textDirection w:val="lrTb"/>
            <w:noWrap w:val="false"/>
          </w:tcPr>
          <w:p>
            <w:pPr>
              <w:pStyle w:val="1679"/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1679"/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shd w:val="clear" w:color="auto" w:fill="ffffff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</w:t>
      </w:r>
      <w:r>
        <w:rPr>
          <w:rFonts w:ascii="Times New Roman" w:hAnsi="Times New Roman" w:cs="Times New Roman"/>
          <w:b/>
          <w:sz w:val="28"/>
          <w:szCs w:val="28"/>
        </w:rPr>
        <w:t xml:space="preserve">приказ министерства строительства Новосибирской области от </w:t>
      </w:r>
      <w:r>
        <w:rPr>
          <w:rFonts w:ascii="Times New Roman" w:hAnsi="Times New Roman" w:cs="Times New Roman"/>
          <w:b/>
          <w:sz w:val="28"/>
          <w:szCs w:val="28"/>
        </w:rPr>
        <w:t xml:space="preserve">21</w:t>
      </w:r>
      <w:r>
        <w:rPr>
          <w:rFonts w:ascii="Times New Roman" w:hAnsi="Times New Roman" w:cs="Times New Roman"/>
          <w:b/>
          <w:sz w:val="28"/>
          <w:szCs w:val="28"/>
        </w:rPr>
        <w:t xml:space="preserve">.03</w:t>
      </w:r>
      <w:r>
        <w:rPr>
          <w:rFonts w:ascii="Times New Roman" w:hAnsi="Times New Roman" w:cs="Times New Roman"/>
          <w:b/>
          <w:sz w:val="28"/>
          <w:szCs w:val="28"/>
        </w:rPr>
        <w:t xml:space="preserve">.2019 № </w:t>
      </w:r>
      <w:r>
        <w:rPr>
          <w:rFonts w:ascii="Times New Roman" w:hAnsi="Times New Roman" w:cs="Times New Roman"/>
          <w:b/>
          <w:sz w:val="28"/>
          <w:szCs w:val="28"/>
        </w:rPr>
        <w:t xml:space="preserve">153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1679"/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sz w:val="28"/>
          <w:szCs w:val="28"/>
        </w:rPr>
        <w:t xml:space="preserve">а</w:t>
      </w:r>
      <w:r>
        <w:rPr>
          <w:rFonts w:ascii="Times New Roman" w:hAnsi="Times New Roman" w:cs="Times New Roman"/>
          <w:sz w:val="28"/>
          <w:szCs w:val="28"/>
        </w:rPr>
        <w:t xml:space="preserve">м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министерства строительства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от 24.06.2024 № 411, </w:t>
      </w:r>
      <w:r>
        <w:rPr>
          <w:rFonts w:ascii="Times New Roman" w:hAnsi="Times New Roman" w:cs="Times New Roman"/>
          <w:sz w:val="28"/>
          <w:szCs w:val="28"/>
        </w:rPr>
        <w:t xml:space="preserve">от 09.07.2024 № 431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«О подготовке проекта внесени</w:t>
      </w:r>
      <w:r>
        <w:rPr>
          <w:rFonts w:ascii="Times New Roman" w:hAnsi="Times New Roman" w:cs="Times New Roman"/>
          <w:sz w:val="28"/>
          <w:szCs w:val="28"/>
        </w:rPr>
        <w:t xml:space="preserve">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Бурмистровского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учетом протокол</w:t>
      </w:r>
      <w:r>
        <w:rPr>
          <w:rFonts w:ascii="Times New Roman" w:hAnsi="Times New Roman" w:cs="Times New Roman"/>
          <w:sz w:val="28"/>
          <w:szCs w:val="28"/>
        </w:rPr>
        <w:t xml:space="preserve">а общественных обсуждений</w:t>
      </w:r>
      <w:r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 xml:space="preserve">проекту</w:t>
      </w:r>
      <w:r>
        <w:rPr>
          <w:rFonts w:ascii="Times New Roman" w:hAnsi="Times New Roman" w:cs="Times New Roman"/>
          <w:sz w:val="28"/>
          <w:szCs w:val="28"/>
        </w:rPr>
        <w:t xml:space="preserve"> внесения изменений в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Бурмистровского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 14.10.2024, </w:t>
      </w:r>
      <w:r>
        <w:rPr>
          <w:rFonts w:ascii="Times New Roman" w:hAnsi="Times New Roman" w:cs="Times New Roman"/>
          <w:sz w:val="28"/>
          <w:szCs w:val="28"/>
        </w:rPr>
        <w:t xml:space="preserve">заключения о результата</w:t>
      </w:r>
      <w:r>
        <w:rPr>
          <w:rFonts w:ascii="Times New Roman" w:hAnsi="Times New Roman" w:cs="Times New Roman"/>
          <w:sz w:val="28"/>
          <w:szCs w:val="28"/>
        </w:rPr>
        <w:t xml:space="preserve">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общественных обсуждений от 17.10.2024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застройки поселений, входящих в состав Новосибирской агломерации Новосибирской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</w:t>
      </w:r>
      <w:r>
        <w:rPr>
          <w:rFonts w:ascii="Times New Roman" w:hAnsi="Times New Roman" w:cs="Times New Roman"/>
          <w:sz w:val="28"/>
          <w:szCs w:val="28"/>
        </w:rPr>
        <w:t xml:space="preserve"> 31.01.2025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руководствуясь Положением о министерстве строительства Новосибирской области, утвержденным постановлением Правительства Новосибирской области от 02.10.2014 № 398-п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  <w:r>
        <w:rPr>
          <w:rFonts w:ascii="Times New Roman" w:hAnsi="Times New Roman" w:eastAsia="Calibri" w:cs="Times New Roman"/>
          <w:b/>
          <w:color w:val="000000"/>
          <w:sz w:val="24"/>
          <w:szCs w:val="24"/>
          <w:lang w:eastAsia="en-US"/>
        </w:rPr>
      </w:r>
    </w:p>
    <w:p>
      <w:pPr>
        <w:pStyle w:val="1679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от </w:t>
      </w:r>
      <w:r>
        <w:rPr>
          <w:rFonts w:ascii="Times New Roman" w:hAnsi="Times New Roman" w:cs="Times New Roman"/>
          <w:sz w:val="28"/>
          <w:szCs w:val="28"/>
        </w:rPr>
        <w:t xml:space="preserve">21.03.2019 </w:t>
      </w:r>
      <w:r>
        <w:rPr>
          <w:rFonts w:ascii="Times New Roman" w:hAnsi="Times New Roman" w:cs="Times New Roman"/>
          <w:sz w:val="28"/>
          <w:szCs w:val="28"/>
        </w:rPr>
        <w:t xml:space="preserve">№ 153</w:t>
      </w:r>
      <w:r>
        <w:rPr>
          <w:rFonts w:ascii="Times New Roman" w:hAnsi="Times New Roman" w:cs="Times New Roman"/>
          <w:sz w:val="28"/>
          <w:szCs w:val="28"/>
        </w:rPr>
        <w:t xml:space="preserve"> «Об утверждении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равил землепользования и застройки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Бурмистровского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Бурмистровского</w:t>
      </w:r>
      <w:r>
        <w:rPr>
          <w:rFonts w:ascii="Times New Roman" w:hAnsi="Times New Roman" w:cs="Times New Roman"/>
          <w:sz w:val="28"/>
          <w:szCs w:val="28"/>
        </w:rPr>
        <w:t xml:space="preserve">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 Абзац первый </w:t>
      </w:r>
      <w:r>
        <w:rPr>
          <w:rFonts w:ascii="Times New Roman" w:hAnsi="Times New Roman" w:cs="Times New Roman"/>
          <w:sz w:val="28"/>
          <w:szCs w:val="28"/>
        </w:rPr>
        <w:t xml:space="preserve">пункта 22 главы 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изложить в следующей редакции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sz w:val="28"/>
          <w:szCs w:val="28"/>
        </w:rPr>
        <w:t xml:space="preserve">22. Организация и проведение общественных обсуждений  или публичных слушаний осуществляется в порядке, определяемом Уставом Искитимского района Новосибирской области, Порядком организации и проведения общественных обсуждений по вопросам г</w:t>
      </w:r>
      <w:r>
        <w:rPr>
          <w:rFonts w:ascii="Times New Roman" w:hAnsi="Times New Roman" w:cs="Times New Roman"/>
          <w:sz w:val="28"/>
          <w:szCs w:val="28"/>
        </w:rPr>
        <w:t xml:space="preserve">радостроительной деятельности на территории Искитимского района Новосибирской области, утвержденным решением Совета депутатов Искитимского района Новосибирской области от 19.12.2023 № 221, с учетом положений Градостроительного кодекса Российской Федерации.</w:t>
      </w:r>
      <w:r>
        <w:rPr>
          <w:rFonts w:ascii="Times New Roman" w:hAnsi="Times New Roman" w:cs="Times New Roman"/>
          <w:sz w:val="28"/>
          <w:szCs w:val="28"/>
        </w:rPr>
        <w:t xml:space="preserve">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 Пункт 31 главы 9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W w:w="978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7433"/>
        <w:gridCol w:w="1641"/>
      </w:tblGrid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территориаль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7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нЖин-Бур2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нЖин-Бур3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нЖин-Бур5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нЖин-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Бур6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Жин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нСсх-Бур1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7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делового, общественного и коммерческого назначения (ОмДОК)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ОмДОК-Бур1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границах земель населенных пунктов (нОмТ)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9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1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7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96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нП-Бур1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в границах земель населенных пунктов (нК)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нК-Бур1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нИК-Бур7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52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водного транспорта в границах земель населенных пунктов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ТВд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нТВд-Бур1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нТВд-Бур4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31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УДС-Бур3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7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(нСи)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63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и фермерского хозяйства (СиКфх)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1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7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нРтоп-Бур1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спорта (Рс)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лесов (Л)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7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в границах земель населенных пунктов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нДКл-Бур1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7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территориальные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5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3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64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79"/>
        <w:ind w:firstLine="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Fonts w:ascii="Times New Roman" w:hAnsi="Times New Roman" w:cs="Times New Roman"/>
          <w:sz w:val="28"/>
          <w:szCs w:val="28"/>
        </w:rPr>
        <w:t xml:space="preserve"> Г</w:t>
      </w:r>
      <w:r>
        <w:rPr>
          <w:rFonts w:ascii="Times New Roman" w:hAnsi="Times New Roman" w:cs="Times New Roman"/>
          <w:sz w:val="28"/>
          <w:szCs w:val="28"/>
        </w:rPr>
        <w:t xml:space="preserve">лавы 11, 12, 13 изложить в редакции согласно приложению № 1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3. </w:t>
      </w:r>
      <w:r>
        <w:rPr>
          <w:rFonts w:ascii="Times New Roman" w:hAnsi="Times New Roman" w:cs="Times New Roman"/>
          <w:sz w:val="28"/>
          <w:szCs w:val="28"/>
        </w:rPr>
        <w:t xml:space="preserve">Раздел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III</w:t>
      </w:r>
      <w:r>
        <w:rPr>
          <w:rFonts w:ascii="Times New Roman" w:hAnsi="Times New Roman" w:cs="Times New Roman"/>
          <w:sz w:val="28"/>
          <w:szCs w:val="28"/>
        </w:rPr>
        <w:t xml:space="preserve"> изложить в следующей редакции: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III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Карты градостроительного зонирования Бурмистровского сельсовета Искитимского района Новосибирской области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46. </w:t>
      </w:r>
      <w:r>
        <w:rPr>
          <w:rFonts w:ascii="Times New Roman" w:hAnsi="Times New Roman" w:cs="Times New Roman"/>
          <w:sz w:val="28"/>
          <w:szCs w:val="28"/>
        </w:rPr>
        <w:t xml:space="preserve">Карта градостроительного зонирования Бурмистровского сельсовета Искитимского района Новосибирской области (приложение № 1, лист № 1).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47. Карта градостроительного зонирования Бурмистровского сельсовета Искитимского района Новосибирской области. Фрагмент карты градостроительного зонирования. Территория деревни Бурмистрово (приложение № 1, лист № 2).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48. Карта зон с особыми условиями использования территории Бурмистровского сельсовета Искитимского района Новосибирской области (приложение № 2 ).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9. Сведения о границах территориальных зон, перечень координат характерных точек границ территориальных зон правил землепользования и застройки Бурмистровского сельсовета Искитимского района Новосибирской области в системе координат, используемой для веден</w:t>
      </w:r>
      <w:r>
        <w:rPr>
          <w:rFonts w:ascii="Times New Roman" w:hAnsi="Times New Roman" w:cs="Times New Roman"/>
          <w:sz w:val="28"/>
          <w:szCs w:val="28"/>
        </w:rPr>
        <w:t xml:space="preserve">ия Единого государственного реестра недвижимости (приложение № 3 ).</w:t>
      </w:r>
      <w:r/>
    </w:p>
    <w:p>
      <w:pPr>
        <w:ind w:firstLine="709"/>
        <w:widowControl/>
      </w:pPr>
      <w:r>
        <w:rPr>
          <w:rFonts w:ascii="Times New Roman" w:hAnsi="Times New Roman" w:cs="Times New Roman"/>
          <w:sz w:val="28"/>
          <w:szCs w:val="28"/>
        </w:rPr>
        <w:t xml:space="preserve">50. Перечень изменяемых территориальных зон Бурмистровского сельсовета Искитимского района Новосибирской области, сведения о которых внесены в Единый государственный реестр недвижимости (приложение № 4).</w:t>
      </w:r>
      <w:r/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51. Перечень ликвидируемых территориальных зон Бурмистровского сельсовета Искитимского района Новосибирской области, сведения о которых внесены в Единый государственный реестр (приложение № 4).</w:t>
      </w:r>
      <w:r>
        <w:rPr>
          <w:rFonts w:ascii="Times New Roman" w:hAnsi="Times New Roman" w:cs="Times New Roman"/>
          <w:sz w:val="28"/>
          <w:szCs w:val="28"/>
        </w:rPr>
        <w:t xml:space="preserve">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 2 изложить</w:t>
      </w:r>
      <w:r>
        <w:rPr>
          <w:rFonts w:ascii="Times New Roman" w:hAnsi="Times New Roman" w:cs="Times New Roman"/>
          <w:sz w:val="28"/>
          <w:szCs w:val="28"/>
        </w:rPr>
        <w:t xml:space="preserve">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</w:t>
      </w:r>
      <w:r>
        <w:rPr>
          <w:rFonts w:ascii="Times New Roman" w:hAnsi="Times New Roman" w:cs="Times New Roman"/>
          <w:sz w:val="28"/>
          <w:szCs w:val="28"/>
        </w:rPr>
        <w:t xml:space="preserve"> П</w:t>
      </w:r>
      <w:r>
        <w:rPr>
          <w:rFonts w:ascii="Times New Roman" w:hAnsi="Times New Roman" w:cs="Times New Roman"/>
          <w:sz w:val="28"/>
          <w:szCs w:val="28"/>
        </w:rPr>
        <w:t xml:space="preserve">риложени</w:t>
      </w:r>
      <w:r>
        <w:rPr>
          <w:rFonts w:ascii="Times New Roman" w:hAnsi="Times New Roman" w:cs="Times New Roman"/>
          <w:sz w:val="28"/>
          <w:szCs w:val="28"/>
        </w:rPr>
        <w:t xml:space="preserve">е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3 </w:t>
      </w:r>
      <w:r>
        <w:rPr>
          <w:rFonts w:ascii="Times New Roman" w:hAnsi="Times New Roman" w:cs="Times New Roman"/>
          <w:sz w:val="28"/>
          <w:szCs w:val="28"/>
        </w:rPr>
        <w:t xml:space="preserve">изложить в редакции согласно приложению №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. Приложение № 4 изложить в редакции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 xml:space="preserve">5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Д. 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1679"/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228 </w:t>
      </w:r>
      <w:r>
        <w:rPr>
          <w:rFonts w:ascii="Times New Roman" w:hAnsi="Times New Roman" w:cs="Times New Roman"/>
        </w:rPr>
        <w:t xml:space="preserve">64 </w:t>
      </w:r>
      <w:r>
        <w:rPr>
          <w:rFonts w:ascii="Times New Roman" w:hAnsi="Times New Roman" w:cs="Times New Roman"/>
        </w:rPr>
        <w:t xml:space="preserve">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  <w:sectPr>
          <w:headerReference w:type="default" r:id="rId9"/>
          <w:footerReference w:type="default" r:id="rId10"/>
          <w:footerReference w:type="even" r:id="rId11"/>
          <w:footnotePr/>
          <w:endnotePr/>
          <w:type w:val="nextPage"/>
          <w:pgSz w:w="11906" w:h="16838" w:orient="portrait"/>
          <w:pgMar w:top="851" w:right="851" w:bottom="1247" w:left="1418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535"/>
        <w:gridCol w:w="753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1679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53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______ № 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pStyle w:val="1679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11. Градостроительные регламенты в части видов разрешенног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40</w:t>
      </w:r>
      <w:r>
        <w:rPr>
          <w:rFonts w:ascii="Times New Roman" w:hAnsi="Times New Roman" w:cs="Times New Roman"/>
          <w:sz w:val="28"/>
          <w:szCs w:val="28"/>
        </w:rPr>
        <w:t xml:space="preserve">. 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HYPERLINK consultantplus://offline/ref=B9CEACD144EBCFF4557B7AFAA026F4C8C6DC017D783637FCB3B96D3606C4EE113B96A98489EA2397B5D7C8C2DE60B766BF837F56C69A4C42oA18I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sz w:val="28"/>
          <w:szCs w:val="28"/>
        </w:rPr>
        <w:t xml:space="preserve">классификатором</w:t>
      </w:r>
      <w:r>
        <w:rPr>
          <w:rFonts w:ascii="Times New Roman" w:hAnsi="Times New Roman" w:cs="Times New Roman"/>
          <w:sz w:val="28"/>
          <w:szCs w:val="28"/>
        </w:rPr>
        <w:fldChar w:fldCharType="end"/>
      </w:r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П/0412.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 xml:space="preserve">№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4784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813"/>
        <w:gridCol w:w="2959"/>
        <w:gridCol w:w="4021"/>
        <w:gridCol w:w="3843"/>
        <w:gridCol w:w="3148"/>
      </w:tblGrid>
      <w:tr>
        <w:tblPrEx/>
        <w:trPr>
          <w:trHeight w:val="663"/>
          <w:tblHeader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5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Наименование территориальной зоны (код территориальной зоны)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Основные виды РИ (Код вида РИ)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Условно разрешенные виды РИ (Код вида РИ)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Вспомогательные виды РИ (Код вида РИ)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shd w:val="clear" w:color="ffffff" w:fill="ffffff"/>
            <w:tcBorders>
              <w:bottom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5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5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5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5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148" w:type="dxa"/>
            <w:textDirection w:val="lrTb"/>
            <w:noWrap w:val="false"/>
          </w:tcPr>
          <w:p>
            <w:pPr>
              <w:pStyle w:val="15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</w:tcBorders>
            <w:tcW w:w="1397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(нЖин)/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нЖин-Бур1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(нЖин-Бур2)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(нЖин-Бур3)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(нЖин-Бур5)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(нЖин-Бур6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723"/>
              <w:ind w:firstLine="0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Гостиничное обслуживание (4.7)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</w:tcBorders>
            <w:tcW w:w="813" w:type="dxa"/>
            <w:vMerge w:val="restart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2959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застройки индивидуальными жилыми домами  (Жин)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i/>
              </w:rPr>
              <w:t xml:space="preserve">*Устанавливается для территорий поселений вне населенных пунктов только при условии соответствия существующему землепользованию и отсутствии в генеральном плане поселения решений об изменении назначения территории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4021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color w:val="000000" w:themeColor="text1"/>
                <w:sz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3843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лесов (10.0)</w:t>
            </w:r>
            <w:r>
              <w:rPr>
                <w:rFonts w:ascii="Times New Roman" w:hAnsi="Times New Roman" w:eastAsia="Times New Roman" w:cs="Times New Roman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3148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садового хозяйства в границах земель населенных пунктов (нСсх)/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нСсх-Бур1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(нОм)/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нОм-Бур1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Ветеринарное обслуживание (3.10)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 (5.1)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делового, общественного и коммерческого назначения (ОмДОК)/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(ОмДОК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rFonts w:ascii="Times New Roman" w:hAnsi="Times New Roman" w:cs="Times New Roman"/>
                <w:i/>
              </w:rPr>
            </w:r>
            <w:r>
              <w:rPr>
                <w:rFonts w:ascii="Times New Roman" w:hAnsi="Times New Roman" w:cs="Times New Roman"/>
                <w:i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торговли в границах населенных пунктов (нОмТ)/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(нОмТ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(нОс)/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(нОс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(ОсДсШ)/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(ОсДсШ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 (5.1)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культуры и искусства (ОсКи)/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(ОсКи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здравоохранения (ОсЗ)/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(ОсЗ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Санаторная деятельность (9.2.1)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физической культуры и массового спорта (ОсФС)/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(ОсФС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i/>
                <w:sz w:val="24"/>
                <w:szCs w:val="24"/>
              </w:rPr>
              <w:t xml:space="preserve">*Устанавливается только в границах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4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bookmarkStart w:id="0" w:name="undefined"/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</w:t>
            </w:r>
            <w:bookmarkEnd w:id="0"/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Ювелирная промышленность (6.3.4)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в границах земель населенных пунктов (нП)/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(нП-Бур1)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Ювелирная промышленность (6.3.4)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Коммунально-складская зона в границах земель населенных пунктов (нК)/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(нК-Бур1)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 (6.9)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 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инженерной инфраструктуры (И)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(нИК-Бур1</w:t>
            </w:r>
            <w: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(нИК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автомобильного транспорта в границах земель населенных пунктов (нТА)/(нТА-Бур1)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водного транспорта в границах земель населенных пунктов (нТВд)/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(нТВд-Бур1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(нТВд-Бур4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уличной и дорожной сети (УДС)/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(УДС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(УДС-Бур3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Внеуличный транспорт (7.6)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Сельскохозяйственное использование (1.0)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(нСи)/(нСи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земель населенных пунктов (нСиПп)/(нСиПп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Сенокошение (1.19) 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vMerge w:val="restart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vMerge w:val="restart"/>
            <w:textDirection w:val="lrTb"/>
            <w:noWrap w:val="false"/>
          </w:tcPr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Отдых (рекреация) (5.0)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 (5.1)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Охота и рыбалка (5.3)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Причалы для маломерных судов (5.4)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Поля для гольфа или конных прогулок (5.5)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vMerge w:val="restart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(нРтоп)/(нРтоп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Резервные леса (10.4)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спорта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23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лесов (Л)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3"/>
            <w:tcW w:w="11012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специального назначения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СпН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Резервные леса (10.4)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tcW w:w="699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кладбищ в границах земель населенных пунктов (нДКл)/(нДКл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4"/>
              </w:numPr>
              <w:contextualSpacing w:val="0"/>
              <w:ind w:left="511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shd w:val="clear" w:color="ffffff" w:fill="ffffff"/>
            <w:tcW w:w="1397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Иные виды территориальных зон: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5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rHeight w:val="1526"/>
        </w:trPr>
        <w:tc>
          <w:tcPr>
            <w:shd w:val="clear" w:color="ffffff" w:fill="ffffff"/>
            <w:tcW w:w="813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4"/>
              </w:numPr>
              <w:contextualSpacing w:val="0"/>
              <w:ind w:left="85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959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территории общего пользования (ТОП)/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(ТОП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021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843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tcW w:w="3148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pStyle w:val="1679"/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_____________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4"/>
          <w:szCs w:val="24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eastAsia="Times New Roman" w:cs="Times New Roman"/>
          <w:b/>
          <w:bCs/>
          <w:sz w:val="28"/>
          <w:szCs w:val="28"/>
        </w:rPr>
        <w:t xml:space="preserve">Глава 12. Градостроительные регламенты в части предельных (минимальных и (или) максимальных)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4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. 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Таблица № 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W w:w="15527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07"/>
        <w:gridCol w:w="6511"/>
        <w:gridCol w:w="860"/>
        <w:gridCol w:w="858"/>
        <w:gridCol w:w="993"/>
        <w:gridCol w:w="992"/>
        <w:gridCol w:w="994"/>
        <w:gridCol w:w="1699"/>
        <w:gridCol w:w="11"/>
        <w:gridCol w:w="1702"/>
      </w:tblGrid>
      <w:tr>
        <w:tblPrEx/>
        <w:trPr>
          <w:tblHeader/>
        </w:trPr>
        <w:tc>
          <w:tcPr>
            <w:tcW w:w="907" w:type="dxa"/>
            <w:vAlign w:val="center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№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п.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6511" w:type="dxa"/>
            <w:vAlign w:val="center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Наименование территориальной зоны (код)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tcW w:w="8109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664"/>
                <w:szCs w:val="22"/>
              </w:rPr>
              <w:footnoteReference w:id="2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907" w:type="dxa"/>
            <w:vMerge w:val="continue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6511" w:type="dxa"/>
            <w:vMerge w:val="continue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S 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(га)</w:t>
            </w:r>
            <w:r>
              <w:rPr>
                <w:rStyle w:val="1664"/>
                <w:szCs w:val="22"/>
              </w:rPr>
              <w:footnoteReference w:id="3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S 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(га)</w:t>
            </w:r>
            <w:r>
              <w:rPr>
                <w:rStyle w:val="1664"/>
                <w:szCs w:val="22"/>
              </w:rPr>
              <w:footnoteReference w:id="4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Отступ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(м)</w:t>
            </w:r>
            <w:r>
              <w:rPr>
                <w:rStyle w:val="1664"/>
                <w:szCs w:val="22"/>
              </w:rPr>
              <w:footnoteReference w:id="5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Этаж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(ед.)</w:t>
            </w:r>
            <w:r>
              <w:rPr>
                <w:rStyle w:val="1664"/>
                <w:szCs w:val="22"/>
              </w:rPr>
              <w:footnoteReference w:id="6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Этаж 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(ед.)</w:t>
            </w:r>
            <w:r>
              <w:rPr>
                <w:rStyle w:val="1664"/>
                <w:szCs w:val="22"/>
              </w:rPr>
              <w:footnoteReference w:id="7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Процент застройки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(процент)</w:t>
            </w:r>
            <w:r>
              <w:rPr>
                <w:rStyle w:val="1664"/>
                <w:szCs w:val="22"/>
              </w:rPr>
              <w:footnoteReference w:id="8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Процент застройки 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(процент)</w:t>
            </w:r>
            <w:r>
              <w:rPr>
                <w:rStyle w:val="1664"/>
                <w:szCs w:val="22"/>
              </w:rPr>
              <w:footnoteReference w:id="9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620" w:type="dxa"/>
            <w:textDirection w:val="lrTb"/>
            <w:noWrap w:val="false"/>
          </w:tcPr>
          <w:p>
            <w:pPr>
              <w:pStyle w:val="1816"/>
              <w:jc w:val="both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Жилые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17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(нЖин)/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-Бур1)</w:t>
            </w:r>
            <w:r>
              <w:rPr>
                <w:rStyle w:val="1664"/>
                <w:sz w:val="24"/>
                <w:szCs w:val="24"/>
              </w:rPr>
              <w:footnoteReference w:id="10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</w:t>
            </w:r>
            <w:r>
              <w:rPr>
                <w:sz w:val="24"/>
                <w:szCs w:val="24"/>
              </w:rPr>
              <w:t xml:space="preserve">нЖин-Бур</w:t>
            </w: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664"/>
                <w:sz w:val="24"/>
                <w:szCs w:val="24"/>
              </w:rPr>
              <w:footnoteReference w:id="11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-Бур3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664"/>
                <w:sz w:val="24"/>
                <w:szCs w:val="24"/>
              </w:rPr>
              <w:footnoteReference w:id="12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-Бур5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664"/>
                <w:sz w:val="24"/>
                <w:szCs w:val="24"/>
              </w:rPr>
              <w:footnoteReference w:id="13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 xml:space="preserve">(нЖин</w:t>
            </w:r>
            <w:r>
              <w:rPr>
                <w:sz w:val="24"/>
                <w:szCs w:val="24"/>
              </w:rPr>
              <w:t xml:space="preserve">-Бур6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664"/>
                <w:sz w:val="22"/>
                <w:szCs w:val="22"/>
              </w:rPr>
              <w:t xml:space="preserve"> </w:t>
            </w:r>
            <w:r>
              <w:rPr>
                <w:rStyle w:val="1664"/>
                <w:sz w:val="22"/>
                <w:szCs w:val="22"/>
              </w:rPr>
              <w:footnoteReference w:id="14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3,0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15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816"/>
              <w:jc w:val="center"/>
              <w:rPr>
                <w:highlight w:val="none"/>
              </w:rPr>
            </w:pPr>
            <w:r>
              <w:rPr>
                <w:szCs w:val="22"/>
              </w:rPr>
              <w:t xml:space="preserve">3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60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177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15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Зона застройки индивидуальными жилыми домами (Жин)</w:t>
            </w:r>
            <w:r>
              <w:rPr>
                <w:rStyle w:val="1664"/>
                <w:sz w:val="24"/>
                <w:szCs w:val="24"/>
              </w:rPr>
              <w:footnoteReference w:id="16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3,0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17"/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816"/>
              <w:jc w:val="center"/>
              <w:rPr>
                <w:highlight w:val="none"/>
              </w:rPr>
            </w:pPr>
            <w:r>
              <w:rPr>
                <w:szCs w:val="22"/>
              </w:rPr>
              <w:t xml:space="preserve">3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60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51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Зона ведения садового хозяйства в границах земель населенных пунктов (нСсх)/(</w:t>
            </w:r>
            <w:r>
              <w:rPr>
                <w:sz w:val="24"/>
                <w:szCs w:val="24"/>
              </w:rPr>
              <w:t xml:space="preserve">нСсх</w:t>
            </w:r>
            <w:r>
              <w:rPr>
                <w:sz w:val="24"/>
                <w:szCs w:val="24"/>
              </w:rPr>
              <w:t xml:space="preserve"> -Бур1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  <w14:ligatures w14:val="none"/>
              </w:rPr>
            </w:pPr>
            <w:r>
              <w:rPr>
                <w:sz w:val="24"/>
                <w:szCs w:val="24"/>
              </w:rPr>
              <w:t xml:space="preserve">0,04</w:t>
            </w:r>
            <w:r>
              <w:rPr>
                <w:szCs w:val="22"/>
                <w14:ligatures w14:val="none"/>
              </w:rPr>
            </w:r>
            <w:r>
              <w:rPr>
                <w:szCs w:val="22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</w:rPr>
              <w:t xml:space="preserve">0,12</w:t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1816"/>
              <w:jc w:val="both"/>
              <w:rPr>
                <w:sz w:val="24"/>
                <w:szCs w:val="24"/>
                <w:highlight w:val="none"/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</w:rPr>
              <w:t xml:space="preserve">Не устанавливается</w:t>
            </w:r>
            <w:r>
              <w:rPr>
                <w:rStyle w:val="1664"/>
              </w:rPr>
              <w:footnoteReference w:id="18"/>
            </w:r>
            <w:r>
              <w:rPr>
                <w:sz w:val="24"/>
                <w:szCs w:val="24"/>
                <w:highlight w:val="none"/>
                <w14:ligatures w14:val="none"/>
              </w:rPr>
            </w:r>
            <w:r>
              <w:rPr>
                <w:sz w:val="24"/>
                <w:szCs w:val="24"/>
                <w:highlight w:val="none"/>
                <w14:ligatures w14:val="none"/>
              </w:rPr>
            </w:r>
          </w:p>
          <w:p>
            <w:pPr>
              <w:pStyle w:val="1816"/>
              <w:jc w:val="both"/>
              <w:rPr>
                <w14:ligatures w14:val="none"/>
              </w:rPr>
            </w:pPr>
            <w:r>
              <w:rPr>
                <w:sz w:val="24"/>
                <w:szCs w:val="24"/>
                <w:highlight w:val="none"/>
              </w:rPr>
            </w:r>
            <w:r>
              <w:rPr>
                <w14:ligatures w14:val="none"/>
              </w:rPr>
            </w:r>
            <w:r>
              <w:rPr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  <w14:ligatures w14:val="none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Cs w:val="22"/>
                <w14:ligatures w14:val="none"/>
              </w:rPr>
            </w:r>
            <w:r>
              <w:rPr>
                <w:szCs w:val="22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  <w14:ligatures w14:val="none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Cs w:val="22"/>
                <w14:ligatures w14:val="none"/>
              </w:rPr>
            </w:r>
            <w:r>
              <w:rPr>
                <w:szCs w:val="22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  <w14:ligatures w14:val="none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Cs w:val="22"/>
                <w14:ligatures w14:val="none"/>
              </w:rPr>
            </w:r>
            <w:r>
              <w:rPr>
                <w:szCs w:val="22"/>
                <w14:ligatures w14:val="none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  <w14:ligatures w14:val="none"/>
              </w:rPr>
            </w:pPr>
            <w:r>
              <w:rPr>
                <w:sz w:val="24"/>
                <w:szCs w:val="24"/>
              </w:rPr>
              <w:t xml:space="preserve">5</w:t>
            </w:r>
            <w:r>
              <w:rPr>
                <w:szCs w:val="22"/>
                <w14:ligatures w14:val="none"/>
              </w:rPr>
            </w:r>
            <w:r>
              <w:rPr>
                <w:szCs w:val="22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  <w14:ligatures w14:val="none"/>
              </w:rPr>
            </w:pPr>
            <w:r>
              <w:rPr>
                <w:sz w:val="24"/>
                <w:szCs w:val="24"/>
              </w:rPr>
              <w:t xml:space="preserve">50</w:t>
            </w:r>
            <w:r>
              <w:rPr>
                <w:szCs w:val="22"/>
                <w14:ligatures w14:val="none"/>
              </w:rPr>
            </w:r>
            <w:r>
              <w:rPr>
                <w:szCs w:val="22"/>
                <w14:ligatures w14:val="none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620" w:type="dxa"/>
            <w:textDirection w:val="lrTb"/>
            <w:noWrap w:val="false"/>
          </w:tcPr>
          <w:p>
            <w:pPr>
              <w:pStyle w:val="1816"/>
              <w:jc w:val="both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Общественно-деловые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333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662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166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(нОм)/(</w:t>
            </w:r>
            <w:r>
              <w:rPr>
                <w:sz w:val="24"/>
                <w:szCs w:val="24"/>
              </w:rPr>
              <w:t xml:space="preserve">нОм</w:t>
            </w:r>
            <w:r>
              <w:rPr>
                <w:sz w:val="24"/>
                <w:szCs w:val="24"/>
              </w:rPr>
              <w:t xml:space="preserve"> -Бур1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rStyle w:val="1664"/>
                <w:sz w:val="24"/>
                <w:szCs w:val="24"/>
              </w:rPr>
              <w:footnoteReference w:id="19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0,1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25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 w:val="24"/>
                <w:szCs w:val="24"/>
              </w:rPr>
              <w:t xml:space="preserve">70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4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делового, общественного и коммерческого назначения (ОмДОК)/(ОмДОК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64"/>
                <w:sz w:val="24"/>
                <w:szCs w:val="24"/>
              </w:rPr>
              <w:footnoteReference w:id="20"/>
            </w:r>
            <w:r/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25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торговли в границах земель населенных пунктов (нОмТ)/(нОмТ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0,02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60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специализированной общественной застройки в границах земель населенных пунктов (нОс)/(нОс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дошкольных образовательных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 и общеобразовательных </w:t>
            </w:r>
            <w:r>
              <w:rPr>
                <w:sz w:val="22"/>
                <w:szCs w:val="22"/>
              </w:rPr>
              <w:t xml:space="preserve">организаций  (ОсДсШ)/(ОсДсШ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64"/>
                <w:sz w:val="22"/>
                <w:szCs w:val="22"/>
              </w:rPr>
              <w:footnoteReference w:id="21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</w:pPr>
            <w:r>
              <w:rPr>
                <w:szCs w:val="22"/>
              </w:rPr>
              <w:t xml:space="preserve">Не устанавливает</w:t>
            </w:r>
            <w:r>
              <w:rPr>
                <w:szCs w:val="22"/>
              </w:rPr>
            </w:r>
            <w:r/>
          </w:p>
          <w:p>
            <w:pPr>
              <w:pStyle w:val="1816"/>
              <w:jc w:val="center"/>
            </w:pPr>
            <w:r>
              <w:rPr>
                <w:szCs w:val="22"/>
              </w:rPr>
              <w:t xml:space="preserve">ся</w:t>
            </w:r>
            <w:r>
              <w:rPr>
                <w:szCs w:val="22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6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культуры и искусства (ОсКи)/ (ОсКи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64"/>
                <w:sz w:val="22"/>
                <w:szCs w:val="22"/>
              </w:rPr>
              <w:footnoteReference w:id="22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</w:pPr>
            <w:r>
              <w:rPr>
                <w:szCs w:val="22"/>
              </w:rPr>
              <w:t xml:space="preserve">Не устанавливает</w:t>
            </w:r>
            <w:r>
              <w:rPr>
                <w:szCs w:val="22"/>
              </w:rPr>
            </w:r>
            <w:r/>
          </w:p>
          <w:p>
            <w:pPr>
              <w:pStyle w:val="1816"/>
              <w:jc w:val="center"/>
            </w:pPr>
            <w:r>
              <w:rPr>
                <w:szCs w:val="22"/>
              </w:rPr>
              <w:t xml:space="preserve">ся</w:t>
            </w:r>
            <w:r>
              <w:rPr>
                <w:szCs w:val="22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здравоохранения (ОсЗ)/ (ОсЗ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64"/>
                <w:sz w:val="22"/>
                <w:szCs w:val="22"/>
              </w:rPr>
              <w:footnoteReference w:id="23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</w:pPr>
            <w:r>
              <w:rPr>
                <w:szCs w:val="22"/>
              </w:rPr>
              <w:t xml:space="preserve">Не устанавливает</w:t>
            </w:r>
            <w:r>
              <w:rPr>
                <w:szCs w:val="22"/>
              </w:rPr>
            </w:r>
            <w:r/>
          </w:p>
          <w:p>
            <w:pPr>
              <w:pStyle w:val="1816"/>
              <w:jc w:val="center"/>
            </w:pPr>
            <w:r>
              <w:rPr>
                <w:szCs w:val="22"/>
              </w:rPr>
              <w:t xml:space="preserve">ся</w:t>
            </w:r>
            <w:r>
              <w:rPr>
                <w:szCs w:val="22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физической культуры и массового спорта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(ОсФС)/(ОсФС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64"/>
                <w:sz w:val="22"/>
                <w:szCs w:val="22"/>
              </w:rPr>
              <w:footnoteReference w:id="24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</w:pPr>
            <w:r>
              <w:rPr>
                <w:szCs w:val="22"/>
              </w:rPr>
              <w:t xml:space="preserve">Не устанавливает</w:t>
            </w:r>
            <w:r>
              <w:rPr>
                <w:szCs w:val="22"/>
              </w:rPr>
            </w:r>
            <w:r/>
          </w:p>
          <w:p>
            <w:pPr>
              <w:pStyle w:val="1816"/>
              <w:jc w:val="center"/>
            </w:pPr>
            <w:r>
              <w:rPr>
                <w:szCs w:val="22"/>
              </w:rPr>
              <w:t xml:space="preserve">ся</w:t>
            </w:r>
            <w:r>
              <w:rPr>
                <w:szCs w:val="22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25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620" w:type="dxa"/>
            <w:textDirection w:val="lrTb"/>
            <w:noWrap w:val="false"/>
          </w:tcPr>
          <w:p>
            <w:pPr>
              <w:pStyle w:val="1816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151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зона (П)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10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Производственная зона в границах земель населенных пунктов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(нП)/(нП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562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Коммунально-складская зона в границах земель населенных пунктов (нК)/(нК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0,2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инженерной инфраструктуры (И)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41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коммунального обслуживания (ИК)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41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коммунального обслуживания в границах земель населенных пунктов (нИК)/</w:t>
            </w:r>
            <w:r>
              <w:rPr>
                <w:sz w:val="22"/>
                <w:szCs w:val="22"/>
              </w:rPr>
              <w:t xml:space="preserve">(нИК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 </w:t>
            </w:r>
            <w:r>
              <w:rPr>
                <w:sz w:val="22"/>
                <w:szCs w:val="22"/>
              </w:rPr>
              <w:t xml:space="preserve">(нИК-Бур7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2711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41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объектов автомобильного транспорта (ТА)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объектов автомобильного транспорта в границах земель населенных пунктов (нТА)/(нТА</w:t>
            </w:r>
            <w:r>
              <w:rPr>
                <w:szCs w:val="22"/>
              </w:rPr>
              <w:t xml:space="preserve">-Бур1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</w:pPr>
            <w:r>
              <w:rPr>
                <w:szCs w:val="22"/>
              </w:rPr>
              <w:t xml:space="preserve">Зона объектов водного транспорта в границах земель населенных пунктов (нТВд)/ </w:t>
            </w:r>
            <w:r>
              <w:rPr>
                <w:szCs w:val="22"/>
              </w:rPr>
              <w:t xml:space="preserve">(нТВд</w:t>
            </w:r>
            <w:r>
              <w:rPr>
                <w:szCs w:val="22"/>
              </w:rPr>
              <w:t xml:space="preserve">-Бур1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  <w:t xml:space="preserve">(нТВд-Бур4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/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52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уличной и дорожной сети (УДС)/</w:t>
            </w:r>
            <w:r>
              <w:rPr>
                <w:sz w:val="22"/>
                <w:szCs w:val="22"/>
              </w:rPr>
              <w:t xml:space="preserve">(УДС</w:t>
            </w:r>
            <w:r>
              <w:rPr>
                <w:sz w:val="22"/>
                <w:szCs w:val="22"/>
              </w:rPr>
              <w:t xml:space="preserve">-Бур1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</w:rPr>
              <w:t xml:space="preserve">(УДС-Бур3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620" w:type="dxa"/>
            <w:textDirection w:val="lrTb"/>
            <w:noWrap w:val="false"/>
          </w:tcPr>
          <w:p>
            <w:pPr>
              <w:pStyle w:val="1816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сельскохозяйственного использования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сельскохозяйственного использования (Си)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сельскохозяйственного использования в границах земель населенных пунктов (</w:t>
            </w:r>
            <w:r>
              <w:rPr>
                <w:szCs w:val="22"/>
              </w:rPr>
              <w:t xml:space="preserve">нСи</w:t>
            </w:r>
            <w:r>
              <w:rPr>
                <w:szCs w:val="22"/>
              </w:rPr>
              <w:t xml:space="preserve">)/(нСи-Бур1)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сельскохозяйственных угодий (Су)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ведения садового хозяйства (</w:t>
            </w:r>
            <w:r>
              <w:rPr>
                <w:szCs w:val="22"/>
              </w:rPr>
              <w:t xml:space="preserve">Ссх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highlight w:val="none"/>
              </w:rPr>
            </w:pPr>
            <w:r>
              <w:rPr>
                <w:szCs w:val="22"/>
                <w:highlight w:val="none"/>
              </w:rPr>
            </w:r>
            <w:r>
              <w:rPr>
                <w:sz w:val="24"/>
              </w:rPr>
              <w:t xml:space="preserve">Не устанавливается</w:t>
            </w:r>
            <w:r>
              <w:rPr>
                <w:rStyle w:val="1664"/>
              </w:rPr>
              <w:footnoteReference w:id="25"/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1816"/>
              <w:jc w:val="center"/>
              <w:rPr>
                <w:highlight w:val="none"/>
              </w:rPr>
            </w:pPr>
            <w:r>
              <w:rPr>
                <w:sz w:val="24"/>
                <w:szCs w:val="24"/>
              </w:rPr>
              <w:t xml:space="preserve">0,12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1816"/>
              <w:jc w:val="center"/>
            </w:pPr>
            <w:r>
              <w:rPr>
                <w:szCs w:val="22"/>
                <w:highlight w:val="none"/>
              </w:rPr>
            </w:r>
            <w:r>
              <w:rPr>
                <w:szCs w:val="22"/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71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70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земель населенных пунктов (нСиПп)/ (нСиПп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71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70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304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</w:tcBorders>
            <w:tcW w:w="63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113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300,0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  <w:p>
            <w:pPr>
              <w:pStyle w:val="181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34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620" w:type="dxa"/>
            <w:textDirection w:val="lrTb"/>
            <w:noWrap w:val="false"/>
          </w:tcPr>
          <w:p>
            <w:pPr>
              <w:pStyle w:val="1816"/>
              <w:rPr>
                <w:rFonts w:ascii="Times New Roman" w:hAnsi="Times New Roman" w:cs="Times New Roman"/>
                <w:b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b/>
                <w:szCs w:val="22"/>
              </w:rPr>
            </w:r>
            <w:r>
              <w:rPr>
                <w:rFonts w:ascii="Times New Roman" w:hAnsi="Times New Roman" w:cs="Times New Roman"/>
                <w:b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200,0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vMerge w:val="restart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vMerge w:val="restart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(нРтоп)/(нРтоп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109" w:type="dxa"/>
            <w:vMerge w:val="restart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  <w:p>
            <w:pPr>
              <w:pStyle w:val="1816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спорта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60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8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713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лесов (Л)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620" w:type="dxa"/>
            <w:textDirection w:val="lrTb"/>
            <w:noWrap w:val="false"/>
          </w:tcPr>
          <w:p>
            <w:pPr>
              <w:pStyle w:val="1816"/>
              <w:rPr>
                <w:rFonts w:ascii="Times New Roman" w:hAnsi="Times New Roman" w:cs="Times New Roman"/>
                <w:b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b/>
                <w:szCs w:val="22"/>
              </w:rPr>
            </w:r>
            <w:r>
              <w:rPr>
                <w:rFonts w:ascii="Times New Roman" w:hAnsi="Times New Roman" w:cs="Times New Roman"/>
                <w:b/>
                <w:szCs w:val="22"/>
              </w:rPr>
            </w:r>
          </w:p>
        </w:tc>
      </w:tr>
      <w:tr>
        <w:tblPrEx/>
        <w:trPr>
          <w:trHeight w:val="318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специального назначения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СпН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кладбищ в границах земель населенных пунктов (нДКл)/ (нДКл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25"/>
              </w:numPr>
              <w:contextualSpacing w:val="0"/>
              <w:ind w:left="644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0" w:sz="4" w:space="0"/>
            </w:tcBorders>
            <w:tcW w:w="14620" w:type="dxa"/>
            <w:textDirection w:val="lrTb"/>
            <w:noWrap w:val="false"/>
          </w:tcPr>
          <w:p>
            <w:pPr>
              <w:pStyle w:val="1816"/>
              <w:rPr>
                <w:rFonts w:ascii="Times New Roman" w:hAnsi="Times New Roman" w:cs="Times New Roman"/>
                <w:b/>
                <w:szCs w:val="22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Иные виды территориальные зоны</w:t>
            </w:r>
            <w:r>
              <w:rPr>
                <w:rFonts w:ascii="Times New Roman" w:hAnsi="Times New Roman" w:cs="Times New Roman"/>
                <w:b/>
                <w:szCs w:val="22"/>
              </w:rPr>
            </w:r>
            <w:r>
              <w:rPr>
                <w:rFonts w:ascii="Times New Roman" w:hAnsi="Times New Roman" w:cs="Times New Roman"/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907" w:type="dxa"/>
            <w:textDirection w:val="lrTb"/>
            <w:noWrap w:val="false"/>
          </w:tcPr>
          <w:p>
            <w:pPr>
              <w:pStyle w:val="1826"/>
              <w:numPr>
                <w:ilvl w:val="1"/>
                <w:numId w:val="25"/>
              </w:numPr>
              <w:contextualSpacing w:val="0"/>
              <w:jc w:val="left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511" w:type="dxa"/>
            <w:textDirection w:val="lrTb"/>
            <w:noWrap w:val="false"/>
          </w:tcPr>
          <w:p>
            <w:pPr>
              <w:pStyle w:val="1816"/>
              <w:jc w:val="both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Зона территории общего пользования (ТОП)/(ТОП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-Бур1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  <w:tc>
          <w:tcPr>
            <w:gridSpan w:val="8"/>
            <w:shd w:val="clear" w:color="ffffff" w:fill="ffffff"/>
            <w:tcBorders>
              <w:top w:val="single" w:color="000000" w:sz="4" w:space="0"/>
            </w:tcBorders>
            <w:tcW w:w="8109" w:type="dxa"/>
            <w:textDirection w:val="lrTb"/>
            <w:noWrap w:val="false"/>
          </w:tcPr>
          <w:p>
            <w:pPr>
              <w:pStyle w:val="1816"/>
              <w:jc w:val="center"/>
              <w:rPr>
                <w:rFonts w:ascii="Times New Roman" w:hAnsi="Times New Roman" w:cs="Times New Roman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Cs w:val="22"/>
              </w:rPr>
            </w:r>
            <w:r>
              <w:rPr>
                <w:rFonts w:ascii="Times New Roman" w:hAnsi="Times New Roman" w:cs="Times New Roman"/>
                <w:szCs w:val="22"/>
              </w:rPr>
            </w:r>
          </w:p>
        </w:tc>
      </w:tr>
    </w:tbl>
    <w:p>
      <w:pPr>
        <w:pStyle w:val="1679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852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________________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540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 Предельные (минимальные и (или) максимальные) размеры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земельных участков и предельные параметры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реконструкции объектов капитального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устанавливаемые вне зависимости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принадлежности к территориальной зоне для видов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разрешенного использования, применяемых для земельных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участков в качестве основных видов разрешенного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использования в единственном числе без дополнительных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видов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sz w:val="24"/>
          <w:szCs w:val="24"/>
        </w:rPr>
        <w:outlineLvl w:val="0"/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top w:w="0" w:type="dxa"/>
          <w:right w:w="57" w:type="dxa"/>
          <w:bottom w:w="0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1083"/>
        <w:gridCol w:w="1124"/>
        <w:gridCol w:w="12"/>
        <w:gridCol w:w="1122"/>
        <w:gridCol w:w="862"/>
        <w:gridCol w:w="993"/>
        <w:gridCol w:w="850"/>
        <w:gridCol w:w="1276"/>
        <w:gridCol w:w="127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W w:w="610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10"/>
            <w:tcW w:w="9592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664"/>
                <w:rFonts w:ascii="Times New Roman" w:hAnsi="Times New Roman" w:cs="Times New Roman"/>
                <w:sz w:val="22"/>
                <w:szCs w:val="24"/>
              </w:rPr>
              <w:footnoteReference w:id="2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95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2077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124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min,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max,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2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min,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min,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max,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min,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3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max,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3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0"/>
          <w:tblHeader/>
        </w:trPr>
        <w:tc>
          <w:tcPr>
            <w:tcW w:w="610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8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124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ffffff"/>
            <w:tcW w:w="1134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62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993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850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/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05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8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3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footnoteReference w:id="4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8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8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8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bottom w:val="single" w:color="000000" w:sz="4" w:space="0"/>
            </w:tcBorders>
            <w:tcW w:w="312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258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2258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604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8"/>
            <w:tcBorders>
              <w:top w:val="single" w:color="000000" w:sz="4" w:space="0"/>
              <w:bottom w:val="single" w:color="000000" w:sz="4" w:space="0"/>
            </w:tcBorders>
            <w:tcW w:w="751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0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10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24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1816"/>
              <w:jc w:val="center"/>
              <w:rPr>
                <w:highlight w:val="none"/>
              </w:rPr>
            </w:pPr>
            <w:r>
              <w:rPr>
                <w:szCs w:val="22"/>
                <w:highlight w:val="none"/>
              </w:rPr>
            </w:r>
            <w:r>
              <w:rPr>
                <w:sz w:val="24"/>
              </w:rPr>
              <w:t xml:space="preserve">Не устанавливается</w:t>
            </w:r>
            <w:r>
              <w:rPr>
                <w:rStyle w:val="1664"/>
              </w:rPr>
              <w:footnoteReference w:id="48"/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0,12</w:t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  <w:r>
              <w:rPr>
                <w:rFonts w:ascii="Times New Roman" w:hAnsi="Times New Roman" w:cs="Times New Roman"/>
                <w:sz w:val="16"/>
                <w:szCs w:val="16"/>
                <w:highlight w:val="none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footnoteReference w:id="4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</w:t>
      </w:r>
      <w:r>
        <w:rPr>
          <w:rFonts w:ascii="Times New Roman" w:hAnsi="Times New Roman" w:cs="Times New Roman"/>
          <w:bCs/>
          <w:sz w:val="28"/>
          <w:szCs w:val="28"/>
        </w:rPr>
        <w:t xml:space="preserve">3</w:t>
      </w:r>
      <w:r>
        <w:rPr>
          <w:rFonts w:ascii="Times New Roman" w:hAnsi="Times New Roman" w:cs="Times New Roman"/>
          <w:bCs/>
          <w:sz w:val="28"/>
          <w:szCs w:val="28"/>
        </w:rPr>
        <w:t xml:space="preserve">. Ограничения использования земельных участков и объектов капитального строительства, устанавливаемые в соответствии с </w:t>
      </w:r>
      <w:r>
        <w:rPr>
          <w:rFonts w:ascii="Times New Roman" w:hAnsi="Times New Roman" w:cs="Times New Roman"/>
          <w:sz w:val="28"/>
          <w:szCs w:val="28"/>
        </w:rPr>
        <w:fldChar w:fldCharType="begin"/>
      </w:r>
      <w:r>
        <w:rPr>
          <w:rFonts w:ascii="Times New Roman" w:hAnsi="Times New Roman" w:cs="Times New Roman"/>
          <w:sz w:val="28"/>
          <w:szCs w:val="28"/>
        </w:rPr>
        <w:instrText xml:space="preserve"> HYPERLINK "consultantplus://offline/ref=98FF45065BD155FE5071738E5F23F92AE24BD50372D57008CF6481B6309BBDC6B99823D6F08CDFCBD8223103EF2A246BBE4B8AE309B2169DbCnBD" </w:instrText>
      </w:r>
      <w:r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Fonts w:ascii="Times New Roman" w:hAnsi="Times New Roman" w:cs="Times New Roman"/>
          <w:bCs/>
          <w:sz w:val="28"/>
          <w:szCs w:val="28"/>
        </w:rPr>
        <w:t xml:space="preserve">законодательством</w:t>
      </w:r>
      <w:r>
        <w:rPr>
          <w:rFonts w:ascii="Times New Roman" w:hAnsi="Times New Roman" w:cs="Times New Roman"/>
          <w:bCs/>
          <w:sz w:val="28"/>
          <w:szCs w:val="28"/>
        </w:rPr>
        <w:fldChar w:fldCharType="end"/>
      </w:r>
      <w:r>
        <w:rPr>
          <w:rFonts w:ascii="Times New Roman" w:hAnsi="Times New Roman" w:cs="Times New Roman"/>
          <w:bCs/>
          <w:sz w:val="28"/>
          <w:szCs w:val="28"/>
        </w:rPr>
        <w:t xml:space="preserve"> Российской Федерации</w:t>
      </w:r>
      <w:r>
        <w:rPr>
          <w:rFonts w:ascii="Times New Roman" w:hAnsi="Times New Roman" w:cs="Times New Roman"/>
          <w:bCs/>
          <w:sz w:val="28"/>
          <w:szCs w:val="28"/>
        </w:rPr>
      </w:r>
      <w:r>
        <w:rPr>
          <w:rFonts w:ascii="Times New Roman" w:hAnsi="Times New Roman" w:cs="Times New Roman"/>
          <w:bCs/>
          <w:sz w:val="28"/>
          <w:szCs w:val="28"/>
        </w:rPr>
      </w:r>
    </w:p>
    <w:p>
      <w:pPr>
        <w:pStyle w:val="1679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 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709"/>
        <w:jc w:val="right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5026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51"/>
        <w:gridCol w:w="1417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663"/>
          <w:tblHeader/>
        </w:trPr>
        <w:tc>
          <w:tcPr>
            <w:tcW w:w="85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17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Ограничения использования земельных участков и объектов капитального строительства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Header/>
        </w:trPr>
        <w:tc>
          <w:tcPr>
            <w:tcBorders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ограничений оборота земельных участков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Изъятие земель природно-заповедного фонда запрещается, за исключением случаев, предусмотренных федеральными законами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 в границах территорий, на которых расположены природные объекты, имеющие особое природоохранное, научное, историко-культурное, эстетическое, рекреационное, оздоровительное и иное ценное значение и находящиеся под особой охраной, не подлежат приватизации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Государственные природные заповедники относятся к особо охраняемым природным территориям федерального значения. В границах государственных прир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одных заповедников природная среда сохраняется в естественном состоянии и полностью запрещается экономическая и иная деятельность, за исключением случаев, предусмотренных Федеральным законом от 14.03.1995 № 33-ФЗ «Об особо охраняемых природных территориях»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и природные ресурсы, расположенные в границах государственных природных заповедников, находятся в федеральной собственности. Земельные участ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ки, расположенные в границах государственных природных заповедников, не подлежат отчуждению из федеральной собственности. Запрещается изменение целевого назначения земель и земельных участков, расположенных в границах государственных природных заповедников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оборота изъяты земельные участки, занятые находящимися в федеральной собственности следующими объектами: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государственными природными заповедниками и национальными парками, за исключением случаев, предусмотренных </w:t>
            </w:r>
            <w:r>
              <w:fldChar w:fldCharType="begin"/>
            </w:r>
            <w:r>
              <w:instrText xml:space="preserve"> HYPERLINK "consultantplus://offline/ref=256ED801B89D97FBC85A13C4C35B9D8E1C4703746C8A69E78450C0FDCE5AFC395E66AB72D685FC80935F0A47EF99B08D33622ED64EB1A6C5lFyBD"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статьей 95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«Земельного кодекса Российской Федерации» от 25.10.2001 № 136-ФЗ;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для постоянной деятельности Вооруженные Силы Российской Федерации, другие войска, воинские формирования и органы, за исключением случаев, установленных федеральными законами;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зданиями, сооружениями, в которых размещены военные суды;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федеральной службы безопасности;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организаций органов государственной охраны;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использования атомной энергии, пунктами хранения ядерных материалов и радиоактивных веществ;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объектами, в соответствии с видами деятельности которых созданы закрытые административно-территориальные образования;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объектами учреждений и органов Федеральной службы исполнения наказаний;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воинскими и гражданскими захоронениями;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инженерно-техническими сооружениями, линиями связи и коммуникациями, возведенными в интересах защиты и охраны Государственной границы Российской Федерации.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Ограничиваются в обороте находящиеся в государственной или муниципальной собственности следующие земельные участки: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особо охраняемых природных территорий,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состава земель лесного фонда;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пределах которых расположены водные объекты, находящиеся в государственной или муниципальной собственности;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особо ценными объектами культурного наследия народов Российской Федерации, объектами, включенными в Список всемирного наследия, историко-культурными заповедниками, объектами археологического наследия, музеями-заповедниками;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обеспечения обороны и безопасности, оборонной промышленности, таможенных нужд и не указанные в </w:t>
            </w:r>
            <w:r>
              <w:fldChar w:fldCharType="begin"/>
            </w:r>
            <w:r>
              <w:instrText xml:space="preserve"> HYPERLINK "consultantplus://offline/ref=5A3FA3CD608BD715F583586DF11E81B3A817099366F25759733C5CAF3F9F697C6BC9A2013762F13F5FA6E9E1BACE3A105DD9830D00F4845E07B5E"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настоящей таблицы;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предназначенные для строительства, реконструкции и (или) эксплуатации (далее также - размещение) объектов внутреннего водного транспорта, воздушного транспорта, сооружений 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вигационного обеспечения воздушного движения и судоходства, объектов инфраструктуры железнодорожного транспорта общего пользования, а также автомобильных дорог федерального значения, регионального значения, межмуниципального значения или местного значения;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занятые объектами космической инфраструктуры;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под объектами гидротехнических сооружений;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предоставленные для производства ядовитых веществ, наркотических средств;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загрязненные опасными отходами, радиоактивными веществами, подвергшиеся биогенному загрязнению, иные подвергшиеся деградации земли;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расположенные в границах земель, зарезервированных для государственных или муниципальных нужд;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1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первом и втором поясах зон санитарной охраны источников питьевого и хозяйственно-бытового водоснабжения.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816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Оборот земель сельскохозяйственного назначения регулируется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от 24.07.2002 № 101-ФЗ «Об обороте земель сельскохозяйственного назначения». Образование земельных участков из земель сельскохозяйственного назначения регулируется Земельным кодексом Российской Федерации от 25.10.2001 № 136-ФЗ и Федеральным </w:t>
            </w:r>
            <w:r>
              <w:fldChar w:fldCharType="begin"/>
            </w:r>
            <w:r>
              <w:instrText xml:space="preserve"> HYPERLINK "consultantplus://offline/ref=2E718D8A3EACB750291015EA205697FCA9725FB03E179FFA0CACC75F19C98071C3E8A037FB7C2C2E5DBFF6B8A3B1M2E" </w:instrText>
            </w:r>
            <w: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законом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 24.07.2002 № 101-ФЗ «Об обороте земель сельскохозяйственного назначения» </w:t>
            </w:r>
            <w:r>
              <w:rPr>
                <w:rStyle w:val="1664"/>
              </w:rPr>
              <w:footnoteReference w:id="5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/>
        <w:tc>
          <w:tcPr>
            <w:tcBorders>
              <w:top w:val="single" w:color="000000" w:sz="4" w:space="0"/>
              <w:bottom w:val="single" w:color="000000" w:sz="4" w:space="0"/>
            </w:tcBorders>
            <w:tcW w:w="851" w:type="dxa"/>
            <w:vAlign w:val="top"/>
            <w:textDirection w:val="lrTb"/>
            <w:noWrap w:val="false"/>
          </w:tcPr>
          <w:p>
            <w:pPr>
              <w:pStyle w:val="1679"/>
              <w:numPr>
                <w:ilvl w:val="0"/>
                <w:numId w:val="17"/>
              </w:numPr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4175" w:type="dxa"/>
            <w:vAlign w:val="top"/>
            <w:textDirection w:val="lrTb"/>
            <w:noWrap w:val="false"/>
          </w:tcPr>
          <w:p>
            <w:pPr>
              <w:pStyle w:val="1679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Запрещается приватизация земельных участков в пределах береговой полосы, установленной в соответствии с Водным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HYPERLINK "consultantplus://offline/ref=CE3A875961CD386932C3396A6E4F8E3149964143AB27950BBA12431C9FE129A08B70FC12F02149A4B32F41E41CA53564A421486B84057F1071P6E"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кодексом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Российской Федерации, а также земельных участков, на которых находятся пруды, обводненные карьеры, в границах территорий общего пользования.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79"/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  <w:sectPr>
          <w:footnotePr/>
          <w:endnotePr/>
          <w:type w:val="nextPage"/>
          <w:pgSz w:w="16839" w:h="11907" w:orient="landscape"/>
          <w:pgMar w:top="709" w:right="851" w:bottom="737" w:left="1134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ind w:firstLine="708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 Иные предельные параметры разрешенного строительства, реконструкции объектов капитального строительства, применяемые для земельных участков в соответствии с видом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88" w:type="dxa"/>
        <w:tblInd w:w="0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566"/>
        <w:gridCol w:w="3401"/>
        <w:gridCol w:w="5026"/>
        <w:gridCol w:w="6095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участка, код (числовое обозначение) вида разрешенного использования земельного участка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Иное требование к видам разрешенного использования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Жилая застройка (2.0)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2.1, 2.2, 2.3, 2.7, 2.7.1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квартиры (без уче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 мест общего пользования) - 1 м/м, но не менее чем 0,5 м/м на квартиру. 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Обслуживание жилой застройки (2.7)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кодами 3.1, 3.3, 3.6, 4.1, 4.3, 4.4, 4.6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кодом 3.1.1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120 кв.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 общей площади жилых комнат, без учета мест общего пользования - 1 м/м. 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15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3.6.2, 3.6.3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(3.8.1)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4.1 - 4.8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4.5, 4.6, 4.8 - 4.8.2.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м.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грузочная площадка не менее 4x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Выставочно-ярмарочная деятельность (4.10)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30 кв. м общей площади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Развлечения (4.8)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26.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27.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в игорных зонах (4.8.3)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28.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40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29.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120 кв. м общей площади номеров, без учета мест общего пользования - 1 м/м.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continue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100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1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занятия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26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95" w:type="dxa"/>
            <w:vAlign w:val="top"/>
            <w:vMerge w:val="restart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80 кв. м общей площади - 1 м/м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88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допускать сброс талых, дождевых и 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вневых стоков на рельеф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79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________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righ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709" w:right="851" w:bottom="737" w:left="1134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13. Градостроительные регламенты в части требований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540"/>
        <w:widowControl/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45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. 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архитектурно-градостроительному облику объекта капитального строительства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 включают в себя:</w:t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</w:r>
    </w:p>
    <w:p>
      <w:pPr>
        <w:pStyle w:val="1826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объемно-пространственным характеристикам объекта капитального строительства – не установлены;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1826"/>
        <w:numPr>
          <w:ilvl w:val="0"/>
          <w:numId w:val="19"/>
        </w:numPr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b w:val="0"/>
          <w:bCs w:val="0"/>
          <w:sz w:val="28"/>
          <w:szCs w:val="28"/>
          <w:highlight w:val="none"/>
        </w:rPr>
        <w:t xml:space="preserve">требования к архитектурно-стилистическим характеристикам объекта капитального строительства – не установлены.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both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850" w:right="737" w:bottom="879" w:left="1417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»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1679"/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W w:w="0" w:type="auto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4480"/>
        <w:gridCol w:w="7228"/>
      </w:tblGrid>
      <w:tr>
        <w:tblPrEx/>
        <w:trPr>
          <w:trHeight w:val="2769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448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/>
            <w:bookmarkEnd w:id="1"/>
            <w:r/>
            <w:bookmarkEnd w:id="2"/>
            <w:r/>
            <w:bookmarkEnd w:id="3"/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7228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_________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Бурмистровского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21.03.2019 № 153</w:t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  <w:highlight w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highlight w:val="none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pStyle w:val="1746"/>
        <w:ind w:firstLine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1746"/>
        <w:ind w:firstLine="0"/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091575" cy="6614456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97138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9091575" cy="66144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15.87pt;height:520.8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1746"/>
        <w:ind w:firstLine="0"/>
        <w:rPr>
          <w:bCs/>
          <w:sz w:val="24"/>
          <w:szCs w:val="24"/>
        </w:rPr>
        <w:sectPr>
          <w:footnotePr/>
          <w:endnotePr/>
          <w:type w:val="nextPage"/>
          <w:pgSz w:w="23814" w:h="16840" w:orient="landscape"/>
          <w:pgMar w:top="1013" w:right="567" w:bottom="851" w:left="1077" w:header="426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tbl>
      <w:tblPr>
        <w:tblStyle w:val="1535"/>
        <w:tblW w:w="0" w:type="auto"/>
        <w:tblLayout w:type="fixed"/>
        <w:tblLook w:val="04A0" w:firstRow="1" w:lastRow="0" w:firstColumn="1" w:lastColumn="0" w:noHBand="0" w:noVBand="1"/>
      </w:tblPr>
      <w:tblGrid>
        <w:gridCol w:w="10690"/>
        <w:gridCol w:w="11103"/>
      </w:tblGrid>
      <w:tr>
        <w:tblPrEx/>
        <w:trPr>
          <w:trHeight w:val="255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690" w:type="dxa"/>
            <w:textDirection w:val="lrTb"/>
            <w:noWrap w:val="false"/>
          </w:tcPr>
          <w:p>
            <w:pPr>
              <w:pStyle w:val="174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03" w:type="dxa"/>
            <w:textDirection w:val="lrTb"/>
            <w:noWrap w:val="false"/>
          </w:tcPr>
          <w:p>
            <w:pPr>
              <w:pStyle w:val="174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Лист № 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pStyle w:val="1746"/>
        <w:ind w:firstLine="0"/>
        <w:jc w:val="center"/>
        <w:rPr>
          <w:sz w:val="24"/>
          <w:szCs w:val="24"/>
        </w:rPr>
      </w:pPr>
      <w:r>
        <w:rPr>
          <w:bCs/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746"/>
        <w:ind w:firstLine="0"/>
        <w:jc w:val="center"/>
        <w:rPr>
          <w:sz w:val="24"/>
          <w:szCs w:val="24"/>
          <w:highlight w:val="none"/>
        </w:rPr>
      </w:pPr>
      <w:r>
        <w:rPr>
          <w:bCs/>
          <w:sz w:val="24"/>
          <w:szCs w:val="24"/>
        </w:rPr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746"/>
        <w:ind w:firstLine="0"/>
        <w:jc w:val="center"/>
        <w:rPr>
          <w:sz w:val="24"/>
          <w:szCs w:val="24"/>
          <w:highlight w:val="none"/>
        </w:rPr>
      </w:pPr>
      <w:r>
        <w:rPr>
          <w:sz w:val="24"/>
          <w:szCs w:val="24"/>
          <w:highlight w:val="none"/>
        </w:rPr>
        <w:t xml:space="preserve">                                                   </w:t>
      </w:r>
      <w:r>
        <w:rPr>
          <w:sz w:val="24"/>
          <w:szCs w:val="24"/>
          <w:highlight w:val="none"/>
        </w:rPr>
        <w:t xml:space="preserve">                                                                                                        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119937" cy="8090164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46816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flipH="0" flipV="0">
                          <a:off x="0" y="0"/>
                          <a:ext cx="11119936" cy="80901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875.59pt;height:637.02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sz w:val="24"/>
          <w:szCs w:val="24"/>
          <w:highlight w:val="none"/>
        </w:rPr>
        <w:t xml:space="preserve">         </w:t>
      </w:r>
      <w:r>
        <w:rPr>
          <w:sz w:val="24"/>
          <w:szCs w:val="24"/>
          <w:highlight w:val="none"/>
        </w:rPr>
        <w:t xml:space="preserve">»</w:t>
      </w:r>
      <w:r>
        <w:rPr>
          <w:sz w:val="24"/>
          <w:szCs w:val="24"/>
          <w:highlight w:val="none"/>
        </w:rPr>
        <w:t xml:space="preserve">                                                                                                                                                                                   </w:t>
      </w:r>
      <w:r>
        <w:rPr>
          <w:sz w:val="24"/>
          <w:szCs w:val="24"/>
          <w:highlight w:val="none"/>
        </w:rPr>
      </w:r>
      <w:r>
        <w:rPr>
          <w:sz w:val="24"/>
          <w:szCs w:val="24"/>
          <w:highlight w:val="none"/>
        </w:rPr>
      </w:r>
    </w:p>
    <w:p>
      <w:pPr>
        <w:pStyle w:val="1746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746"/>
        <w:ind w:firstLine="0"/>
        <w:jc w:val="center"/>
        <w:rPr>
          <w:sz w:val="24"/>
          <w:szCs w:val="24"/>
        </w:rPr>
        <w:sectPr>
          <w:footnotePr/>
          <w:endnotePr/>
          <w:type w:val="nextPage"/>
          <w:pgSz w:w="23814" w:h="16839" w:orient="landscape"/>
          <w:pgMar w:top="1418" w:right="0" w:bottom="567" w:left="709" w:header="720" w:footer="720" w:gutter="0"/>
          <w:cols w:num="1" w:sep="0" w:space="720" w:equalWidth="1"/>
          <w:docGrid w:linePitch="360"/>
          <w:titlePg/>
        </w:sectPr>
      </w:pPr>
      <w:r>
        <w:rPr>
          <w:sz w:val="24"/>
          <w:szCs w:val="24"/>
          <w:highlight w:val="none"/>
        </w:rPr>
        <w:t xml:space="preserve">______________________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1746"/>
        <w:ind w:firstLine="0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tbl>
      <w:tblPr>
        <w:tblW w:w="22360" w:type="dxa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838"/>
        <w:gridCol w:w="9271"/>
        <w:gridCol w:w="1298"/>
        <w:gridCol w:w="5953"/>
      </w:tblGrid>
      <w:tr>
        <w:tblPrEx/>
        <w:trPr>
          <w:trHeight w:val="1701"/>
        </w:trPr>
        <w:tc>
          <w:tcPr>
            <w:gridSpan w:val="3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6407" w:type="dxa"/>
            <w:vAlign w:val="top"/>
            <w:textDirection w:val="lrTb"/>
            <w:noWrap w:val="false"/>
          </w:tcPr>
          <w:p>
            <w:pPr>
              <w:pStyle w:val="1679"/>
              <w:jc w:val="center"/>
            </w:pPr>
            <w:r>
              <w:t xml:space="preserve"> </w:t>
            </w:r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95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________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№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ind w:left="0" w:right="6734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Бурмистровского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21.03.2019 № 153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</w:tc>
      </w:tr>
    </w:tbl>
    <w:p>
      <w:pPr>
        <w:pStyle w:val="1679"/>
      </w:pPr>
      <w:r/>
      <w:r/>
    </w:p>
    <w:p>
      <w:pPr>
        <w:pStyle w:val="1679"/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172511" cy="667334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11592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9172511" cy="66733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722.24pt;height:525.4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/>
    </w:p>
    <w:p>
      <w:pPr>
        <w:pStyle w:val="1679"/>
        <w:jc w:val="center"/>
      </w:pPr>
      <w:r>
        <w:t xml:space="preserve">          </w:t>
      </w:r>
      <w:r>
        <w:t xml:space="preserve">               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t xml:space="preserve">»   </w:t>
      </w:r>
      <w:r>
        <w:rPr>
          <w:highlight w:val="none"/>
        </w:rPr>
      </w:r>
      <w:r/>
    </w:p>
    <w:p>
      <w:pPr>
        <w:jc w:val="center"/>
        <w:rPr>
          <w:highlight w:val="none"/>
        </w:rPr>
      </w:pPr>
      <w:r>
        <w:t xml:space="preserve">______________________                                                              </w:t>
      </w:r>
      <w:r>
        <w:t xml:space="preserve">      </w: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rPr>
          <w:highlight w:val="none"/>
        </w:rPr>
        <w:sectPr>
          <w:footnotePr/>
          <w:endnotePr/>
          <w:type w:val="nextPage"/>
          <w:pgSz w:w="23814" w:h="16839" w:orient="landscape"/>
          <w:pgMar w:top="1135" w:right="0" w:bottom="567" w:left="709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center"/>
      </w:pPr>
      <w:r>
        <w:rPr>
          <w:highlight w:val="none"/>
        </w:rPr>
      </w:r>
      <w:r>
        <w:rPr>
          <w:highlight w:val="none"/>
        </w:rPr>
      </w:r>
      <w:r/>
    </w:p>
    <w:p>
      <w:pPr>
        <w:jc w:val="center"/>
      </w:pPr>
      <w:r/>
      <w:r/>
    </w:p>
    <w:p>
      <w:pPr>
        <w:jc w:val="center"/>
      </w:pPr>
      <w:r/>
      <w:r/>
    </w:p>
    <w:p>
      <w:pPr>
        <w:pStyle w:val="1679"/>
        <w:jc w:val="center"/>
      </w:pPr>
      <w:r/>
      <w:r/>
    </w:p>
    <w:p>
      <w:pPr>
        <w:pStyle w:val="1679"/>
        <w:jc w:val="center"/>
      </w:pPr>
      <w:r>
        <w:t xml:space="preserve">                                                                                                                </w:t>
      </w:r>
      <w:r>
        <w:t xml:space="preserve">       </w:t>
      </w:r>
      <w:r/>
    </w:p>
    <w:tbl>
      <w:tblPr>
        <w:tblW w:w="10173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503"/>
        <w:gridCol w:w="5670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503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670" w:type="dxa"/>
            <w:vAlign w:val="top"/>
            <w:textDirection w:val="lrTb"/>
            <w:noWrap w:val="false"/>
          </w:tcPr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РИЛОЖЕНИЕ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 5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строительства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left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от __________  № 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правилам землепользования и застройки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Бурмистровского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района 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21.03.2019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153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pStyle w:val="1679"/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79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Бурмистровского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W w:w="988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3685"/>
        <w:gridCol w:w="3508"/>
      </w:tblGrid>
      <w:tr>
        <w:tblPrEx/>
        <w:trPr>
          <w:tblHeader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территориальных зон (частей территориальных зон),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 в соответствии с приказом министерства строительства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  <w:tblHeader/>
        </w:trPr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54:07-7.86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спорта (Рс)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спорта (Рс)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54:07-7.203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отдыха (рекреации) (Р)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54:07-7.103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общего пользования водными объектами (Воп)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(Воп)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54:07-7.113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водных объектов (В)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54:07-7.128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54:07-7.121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хранения и переработки сельскохозяйственной продукции (СиПп)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(СиПп)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54:07-7.181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ведения садового хозяйства (Ссх)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54:07-7.160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сельскохозяйственного использования (Си)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54:07-7.42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(СиЛх)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54:07-7.33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54:07-7.61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объектов коммунального обслуживания (ИК)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54:07-7.164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объектов автомобильного транспорта (ТА)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54:07-7.169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застройки индивидуальными жилыми домами и ведения личного подсобного хозяйства (Жин)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/>
            <w:bookmarkStart w:id="0" w:name="undefine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(Жин)</w:t>
            </w:r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54:07-7.122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территории общего пользования (ТОП)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(ТОП-Бур1)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54:07-7.200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Зона объектов здравоохранения (ОсЗ)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(ОсЗ-Бур1)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W w:w="709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29"/>
              </w:num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198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54:07-7.74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685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Часть зоны объектов туристического обслуживания (Рто)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shd w:val="clear" w:color="ffffff" w:fill="ffffff"/>
            <w:tcW w:w="3508" w:type="dxa"/>
            <w:vAlign w:val="center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туристического обслуживания (РТ)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ind w:left="-5"/>
        <w:jc w:val="left"/>
        <w:widowControl/>
        <w:tabs>
          <w:tab w:val="left" w:pos="557" w:leader="none"/>
          <w:tab w:val="left" w:pos="2376" w:leader="none"/>
        </w:tabs>
        <w:rPr>
          <w:rFonts w:ascii="Times New Roman" w:hAnsi="Times New Roman" w:cs="Times New Roman"/>
          <w:sz w:val="4"/>
          <w:szCs w:val="4"/>
        </w:rPr>
      </w:pPr>
      <w:r>
        <w:rPr>
          <w:rFonts w:ascii="Times New Roman" w:hAnsi="Times New Roman" w:cs="Times New Roman"/>
          <w:sz w:val="4"/>
          <w:szCs w:val="4"/>
        </w:rPr>
        <w:tab/>
        <w:tab/>
      </w: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_______________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1907" w:h="16839" w:orient="portrait"/>
          <w:pgMar w:top="567" w:right="567" w:bottom="993" w:left="1418" w:header="720" w:footer="72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4"/>
          <w:szCs w:val="24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зон </w:t>
      </w:r>
      <w:r>
        <w:rPr>
          <w:rFonts w:ascii="Times New Roman" w:hAnsi="Times New Roman" w:cs="Times New Roman"/>
          <w:sz w:val="28"/>
          <w:szCs w:val="28"/>
        </w:rPr>
        <w:t xml:space="preserve">Бурмистровского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</w:t>
      </w: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35"/>
        <w:tblW w:w="9918" w:type="dxa"/>
        <w:tblLook w:val="04A0" w:firstRow="1" w:lastRow="0" w:firstColumn="1" w:lastColumn="0" w:noHBand="0" w:noVBand="1"/>
      </w:tblPr>
      <w:tblGrid>
        <w:gridCol w:w="630"/>
        <w:gridCol w:w="6169"/>
        <w:gridCol w:w="3119"/>
      </w:tblGrid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п/п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Наименование территориальной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зон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Реестровый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номер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 территориальной зоны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Часть зоны застройки малоэтажными жилыми домами (Жмл)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54:07-7.195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Часть зоны охраны природных территорий (Опт)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54:07-7.190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причалов для маломерных судов (РПс)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54:07-7.193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>
          <w:trHeight w:val="250"/>
        </w:trPr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ведения огородничества (Со)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54:07-7.22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обеспечения сельскохозяйственного производства (СиСп)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54:07-7.171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Часть зоны животноводства (Сж)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ритуальной деятельности (ДРит)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54:07-7.92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общественного питания (ОсОп)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54:07-7.170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бытового обслуживания (ОсБ)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54:07-7.191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специализированной общественной застройки (Ос)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54:07-7.80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культуры (ОсКи)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54:07-7.142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торговли (ОсТ)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54:07-7.188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религиозного использования (ОсРи)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54:07-7.198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дошкольного, начального и среднего общего образования (ОсДШ)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54:07-7.44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vAlign w:val="center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Многофункциональная общественно-деловая зона (Ом)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54:07-7.182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Коммунально-складская зона (К)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54:07-7.101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пищевой промышленности (ПП)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54:07-7.120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связи (ИС)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54:07-7.93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  <w:tr>
        <w:tblPrEx/>
        <w:trPr/>
        <w:tc>
          <w:tcPr>
            <w:shd w:val="clear" w:color="ffffff" w:fill="ffffff"/>
            <w:tcW w:w="630" w:type="dxa"/>
            <w:textDirection w:val="lrTb"/>
            <w:noWrap w:val="false"/>
          </w:tcPr>
          <w:p>
            <w:pPr>
              <w:pStyle w:val="1826"/>
              <w:numPr>
                <w:ilvl w:val="0"/>
                <w:numId w:val="30"/>
              </w:num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6169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Зона объектов строительной промышленности (ПС)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  <w:t xml:space="preserve">54:07-7.179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</w:tbl>
    <w:p>
      <w:pPr>
        <w:pStyle w:val="1679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1679"/>
        <w:jc w:val="left"/>
        <w:widowControl/>
        <w:tabs>
          <w:tab w:val="left" w:pos="563" w:leader="none"/>
          <w:tab w:val="left" w:pos="1986" w:leader="none"/>
        </w:tabs>
        <w:rPr>
          <w:rFonts w:ascii="Times New Roman" w:hAnsi="Times New Roman" w:cs="Times New Roman"/>
          <w:sz w:val="4"/>
          <w:szCs w:val="4"/>
        </w:rPr>
      </w:pP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  <w:r>
        <w:rPr>
          <w:rFonts w:ascii="Times New Roman" w:hAnsi="Times New Roman" w:cs="Times New Roman"/>
          <w:sz w:val="4"/>
          <w:szCs w:val="4"/>
        </w:rPr>
      </w:r>
    </w:p>
    <w:p>
      <w:pPr>
        <w:pStyle w:val="167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1679"/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t xml:space="preserve"> </w:t>
      </w:r>
      <w:r/>
    </w:p>
    <w:sectPr>
      <w:footnotePr/>
      <w:endnotePr/>
      <w:type w:val="nextPage"/>
      <w:pgSz w:w="11907" w:h="16839" w:orient="portrait"/>
      <w:pgMar w:top="567" w:right="567" w:bottom="709" w:left="1418" w:header="720" w:footer="720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Mangal">
    <w:panose1 w:val="02040503050406030204"/>
  </w:font>
  <w:font w:name="Courier New">
    <w:panose1 w:val="02070309020205020404"/>
  </w:font>
  <w:font w:name="Cambria">
    <w:panose1 w:val="02040503050406030204"/>
  </w:font>
  <w:font w:name="Monotype Corsiva">
    <w:panose1 w:val="02000000000000000000"/>
  </w:font>
  <w:font w:name="Gaze">
    <w:panose1 w:val="02000603000000000000"/>
  </w:font>
  <w:font w:name="Book Antiqua">
    <w:panose1 w:val="02040502050405020303"/>
  </w:font>
  <w:font w:name="Tahoma">
    <w:panose1 w:val="020B0604030504040204"/>
  </w:font>
  <w:font w:name="Calibri">
    <w:panose1 w:val="020F0502020204030204"/>
  </w:font>
  <w:font w:name="Microsoft YaHei">
    <w:panose1 w:val="020B0503020203020204"/>
  </w:font>
  <w:font w:name="Arial Narrow">
    <w:panose1 w:val="020B0604020202020204"/>
  </w:font>
  <w:font w:name="Times New Roman">
    <w:panose1 w:val="020206030504050203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31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695"/>
      <w:rPr>
        <w:rStyle w:val="1697"/>
      </w:rPr>
    </w:pPr>
    <w:r>
      <w:rPr>
        <w:rStyle w:val="1697"/>
      </w:rPr>
      <w:fldChar w:fldCharType="begin"/>
    </w:r>
    <w:r>
      <w:rPr>
        <w:rStyle w:val="1697"/>
      </w:rPr>
      <w:instrText xml:space="preserve">PAGE  </w:instrText>
    </w:r>
    <w:r>
      <w:rPr>
        <w:rStyle w:val="1697"/>
      </w:rPr>
      <w:fldChar w:fldCharType="end"/>
    </w:r>
    <w:r>
      <w:rPr>
        <w:rStyle w:val="1697"/>
      </w:rPr>
    </w:r>
    <w:r>
      <w:rPr>
        <w:rStyle w:val="1697"/>
      </w:rPr>
    </w:r>
  </w:p>
  <w:p>
    <w:pPr>
      <w:pStyle w:val="1695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  <w:footnote w:id="2">
    <w:p>
      <w:pPr>
        <w:pStyle w:val="1662"/>
        <w:rPr>
          <w:rFonts w:ascii="Times New Roman" w:hAnsi="Times New Roman" w:eastAsia="Times New Roman" w:cs="Times New Roman"/>
          <w14:ligatures w14:val="none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rFonts w:ascii="Times New Roman" w:hAnsi="Times New Roman" w:eastAsia="Times New Roman" w:cs="Times New Roman"/>
        </w:rPr>
        <w:t xml:space="preserve">г</w:t>
      </w:r>
      <w:r>
        <w:rPr>
          <w:rFonts w:ascii="Times New Roman" w:hAnsi="Times New Roman" w:eastAsia="Times New Roman" w:cs="Times New Roman"/>
        </w:rP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rFonts w:ascii="Times New Roman" w:hAnsi="Times New Roman" w:eastAsia="Times New Roman" w:cs="Times New Roman"/>
        </w:rPr>
        <w:t xml:space="preserve">х</w:t>
      </w:r>
      <w:r>
        <w:rPr>
          <w:rFonts w:ascii="Times New Roman" w:hAnsi="Times New Roman" w:eastAsia="Times New Roman" w:cs="Times New Roman"/>
        </w:rP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rPr>
          <w:rFonts w:ascii="Times New Roman" w:hAnsi="Times New Roman" w:eastAsia="Times New Roman" w:cs="Times New Roman"/>
        </w:rPr>
        <w:t xml:space="preserve">тельством Российской Федерации.</w:t>
      </w:r>
      <w:r>
        <w:rPr>
          <w:rFonts w:ascii="Times New Roman" w:hAnsi="Times New Roman" w:eastAsia="Times New Roman" w:cs="Times New Roman"/>
        </w:rPr>
      </w:r>
      <w:r>
        <w:rPr>
          <w:rFonts w:ascii="Times New Roman" w:hAnsi="Times New Roman" w:eastAsia="Times New Roman" w:cs="Times New Roman"/>
          <w14:ligatures w14:val="none"/>
        </w:rPr>
      </w:r>
    </w:p>
  </w:footnote>
  <w:footnote w:id="3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S </w:t>
      </w:r>
      <w:r>
        <w:rPr>
          <w:rFonts w:ascii="Times New Roman" w:hAnsi="Times New Roman" w:eastAsia="Times New Roman" w:cs="Times New Roman"/>
        </w:rPr>
        <w:t xml:space="preserve">min</w:t>
      </w:r>
      <w:r>
        <w:rPr>
          <w:rFonts w:ascii="Times New Roman" w:hAnsi="Times New Roman" w:eastAsia="Times New Roman" w:cs="Times New Roman"/>
        </w:rPr>
        <w:t xml:space="preserve"> - предельные минимальные размеры земельных участков.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4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S </w:t>
      </w:r>
      <w:r>
        <w:rPr>
          <w:rFonts w:ascii="Times New Roman" w:hAnsi="Times New Roman" w:eastAsia="Times New Roman" w:cs="Times New Roman"/>
        </w:rPr>
        <w:t xml:space="preserve">max</w:t>
      </w:r>
      <w:r>
        <w:rPr>
          <w:rFonts w:ascii="Times New Roman" w:hAnsi="Times New Roman" w:eastAsia="Times New Roman" w:cs="Times New Roman"/>
        </w:rPr>
        <w:t xml:space="preserve"> - предельные максимальные размеры земельных участков.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5">
    <w:p>
      <w:pPr>
        <w:pStyle w:val="1662"/>
        <w:ind w:left="284" w:hanging="284"/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Отступ </w:t>
      </w:r>
      <w:r>
        <w:rPr>
          <w:rFonts w:ascii="Times New Roman" w:hAnsi="Times New Roman" w:eastAsia="Times New Roman" w:cs="Times New Roman"/>
        </w:rPr>
        <w:t xml:space="preserve">min</w:t>
      </w:r>
      <w:r>
        <w:rPr>
          <w:rFonts w:ascii="Times New Roman" w:hAnsi="Times New Roman" w:eastAsia="Times New Roman" w:cs="Times New Roman"/>
        </w:rPr>
        <w:t xml:space="preserve">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сооружений.</w:t>
      </w:r>
      <w:r/>
    </w:p>
  </w:footnote>
  <w:footnote w:id="6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Этаж </w:t>
      </w:r>
      <w:r>
        <w:rPr>
          <w:rFonts w:ascii="Times New Roman" w:hAnsi="Times New Roman" w:eastAsia="Times New Roman" w:cs="Times New Roman"/>
        </w:rPr>
        <w:t xml:space="preserve">min</w:t>
      </w:r>
      <w:r>
        <w:rPr>
          <w:rFonts w:ascii="Times New Roman" w:hAnsi="Times New Roman" w:eastAsia="Times New Roman" w:cs="Times New Roman"/>
        </w:rPr>
        <w:t xml:space="preserve"> - предельное минимальное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7">
    <w:p>
      <w:pPr>
        <w:pStyle w:val="1662"/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Этаж </w:t>
      </w:r>
      <w:r>
        <w:rPr>
          <w:rFonts w:ascii="Times New Roman" w:hAnsi="Times New Roman" w:eastAsia="Times New Roman" w:cs="Times New Roman"/>
        </w:rPr>
        <w:t xml:space="preserve">max</w:t>
      </w:r>
      <w:r>
        <w:rPr>
          <w:rFonts w:ascii="Times New Roman" w:hAnsi="Times New Roman" w:eastAsia="Times New Roman" w:cs="Times New Roman"/>
        </w:rPr>
        <w:t xml:space="preserve"> - предельное максимальное количество надземных этажей зданий, строений, сооружений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</w:r>
      <w:r/>
    </w:p>
  </w:footnote>
  <w:footnote w:id="8">
    <w:p>
      <w:pPr>
        <w:pStyle w:val="1746"/>
        <w:ind w:left="284" w:hanging="284"/>
        <w:rPr>
          <w:sz w:val="20"/>
          <w:szCs w:val="20"/>
        </w:rPr>
      </w:pPr>
      <w:r>
        <w:rPr>
          <w:rStyle w:val="1664"/>
          <w:sz w:val="20"/>
          <w:szCs w:val="20"/>
        </w:rPr>
        <w:footnoteRef/>
      </w:r>
      <w:r>
        <w:rPr>
          <w:sz w:val="20"/>
          <w:szCs w:val="20"/>
        </w:rPr>
        <w:t xml:space="preserve"> Процент застройки </w:t>
      </w:r>
      <w:r>
        <w:rPr>
          <w:sz w:val="20"/>
          <w:szCs w:val="20"/>
        </w:rPr>
        <w:t xml:space="preserve">min</w:t>
      </w:r>
      <w:r>
        <w:rPr>
          <w:sz w:val="20"/>
          <w:szCs w:val="20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9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Процент застройки </w:t>
      </w:r>
      <w:r>
        <w:rPr>
          <w:rFonts w:ascii="Times New Roman" w:hAnsi="Times New Roman" w:eastAsia="Times New Roman" w:cs="Times New Roman"/>
        </w:rPr>
        <w:t xml:space="preserve">max</w:t>
      </w:r>
      <w:r>
        <w:rPr>
          <w:rFonts w:ascii="Times New Roman" w:hAnsi="Times New Roman" w:eastAsia="Times New Roman" w:cs="Times New Roman"/>
        </w:rP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10">
    <w:p>
      <w:pPr>
        <w:pStyle w:val="1662"/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1">
    <w:p>
      <w:pPr>
        <w:pStyle w:val="1662"/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2">
    <w:p>
      <w:pPr>
        <w:pStyle w:val="1662"/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3">
    <w:p>
      <w:pPr>
        <w:pStyle w:val="1662"/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4">
    <w:p>
      <w:pPr>
        <w:pStyle w:val="1662"/>
      </w:pPr>
      <w:r>
        <w:rPr>
          <w:rStyle w:val="1664"/>
        </w:rPr>
        <w:footnoteRef/>
      </w:r>
      <w:r>
        <w:rPr>
          <w:rStyle w:val="1664"/>
        </w:rP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rFonts w:ascii="Times New Roman" w:hAnsi="Times New Roman" w:eastAsia="Times New Roman" w:cs="Times New Roman"/>
        </w:rPr>
      </w:r>
      <w:r/>
    </w:p>
  </w:footnote>
  <w:footnote w:id="15">
    <w:p>
      <w:pPr>
        <w:pStyle w:val="1818"/>
      </w:pPr>
      <w:r>
        <w:rPr>
          <w:rStyle w:val="1820"/>
          <w:sz w:val="18"/>
          <w:szCs w:val="18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16">
    <w:p>
      <w:pPr>
        <w:pStyle w:val="1662"/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7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18">
    <w:p>
      <w:pPr>
        <w:pStyle w:val="1662"/>
        <w:rPr>
          <w:rFonts w:ascii="Times New Roman" w:hAnsi="Times New Roman" w:cs="Times New Roman"/>
          <w:sz w:val="20"/>
          <w:szCs w:val="20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19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rPr>
          <w:rStyle w:val="1664"/>
        </w:rP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</w:t>
      </w:r>
      <w:r>
        <w:rPr>
          <w:rFonts w:ascii="Times New Roman" w:hAnsi="Times New Roman" w:eastAsia="Times New Roman" w:cs="Times New Roman"/>
        </w:rPr>
        <w:t xml:space="preserve">максимальные) размеры земельных участков и предельные параметры разрешенного строительства, реконструкции объектов капитального строительства в </w:t>
      </w:r>
      <w:r>
        <w:rPr>
          <w:rFonts w:ascii="Times New Roman" w:hAnsi="Times New Roman" w:eastAsia="Times New Roman" w:cs="Times New Roman"/>
        </w:rPr>
        <w:t xml:space="preserve">соответствии с таблицей № 3.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20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rPr>
          <w:rStyle w:val="1664"/>
        </w:rPr>
        <w:t xml:space="preserve"> </w:t>
      </w:r>
      <w:r>
        <w:rPr>
          <w:rFonts w:ascii="Times New Roman" w:hAnsi="Times New Roman" w:eastAsia="Times New Roman" w:cs="Times New Roman"/>
        </w:rPr>
        <w:t xml:space="preserve">Не применяется для 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eastAsia="Times New Roman" w:cs="Times New Roman"/>
        </w:rPr>
        <w:t xml:space="preserve"> В отношении </w:t>
      </w:r>
      <w:r>
        <w:rPr>
          <w:rFonts w:ascii="Times New Roman" w:hAnsi="Times New Roman" w:eastAsia="Times New Roman" w:cs="Times New Roman"/>
        </w:rPr>
        <w:t xml:space="preserve">земельных участков</w:t>
      </w:r>
      <w:r>
        <w:rPr>
          <w:rFonts w:ascii="Times New Roman" w:hAnsi="Times New Roman" w:eastAsia="Times New Roman" w:cs="Times New Roman"/>
        </w:rPr>
        <w:t xml:space="preserve"> занятых жилой</w:t>
      </w:r>
      <w:r>
        <w:rPr>
          <w:rFonts w:ascii="Times New Roman" w:hAnsi="Times New Roman" w:eastAsia="Times New Roman" w:cs="Times New Roman"/>
        </w:rPr>
        <w:t xml:space="preserve"> застройк</w:t>
      </w:r>
      <w:r>
        <w:rPr>
          <w:rFonts w:ascii="Times New Roman" w:hAnsi="Times New Roman" w:eastAsia="Times New Roman" w:cs="Times New Roman"/>
        </w:rPr>
        <w:t xml:space="preserve">ой применять предельные (минимальные и (или) </w:t>
      </w:r>
      <w:r>
        <w:rPr>
          <w:rFonts w:ascii="Times New Roman" w:hAnsi="Times New Roman" w:eastAsia="Times New Roman" w:cs="Times New Roman"/>
        </w:rPr>
        <w:t xml:space="preserve">максимальные) размеры земельных участков и предельные параметры разрешенного строительства, реконструкции объектов капитального строительства в </w:t>
      </w:r>
      <w:r>
        <w:rPr>
          <w:rFonts w:ascii="Times New Roman" w:hAnsi="Times New Roman" w:eastAsia="Times New Roman" w:cs="Times New Roman"/>
        </w:rPr>
        <w:t xml:space="preserve">соответствии с таблицей № 3.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21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Границы территориальной зоны «Зона дошкольных образовательных организаций и общеобразовательных</w:t>
      </w:r>
      <w:r>
        <w:rPr>
          <w:rFonts w:ascii="Times New Roman" w:hAnsi="Times New Roman" w:eastAsia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eastAsia="Times New Roman" w:cs="Times New Roman"/>
        </w:rPr>
        <w:t xml:space="preserve">организаций (</w:t>
      </w:r>
      <w:r>
        <w:rPr>
          <w:rFonts w:ascii="Times New Roman" w:hAnsi="Times New Roman" w:eastAsia="Times New Roman" w:cs="Times New Roman"/>
        </w:rPr>
        <w:t xml:space="preserve">ОсДсШ</w:t>
      </w:r>
      <w:r>
        <w:rPr>
          <w:rFonts w:ascii="Times New Roman" w:hAnsi="Times New Roman" w:eastAsia="Times New Roman" w:cs="Times New Roman"/>
        </w:rPr>
        <w:t xml:space="preserve">)/(ОсДсШ-Бур1)»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22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rPr>
          <w:rStyle w:val="1664"/>
        </w:rPr>
        <w:t xml:space="preserve"> </w:t>
      </w:r>
      <w:r>
        <w:rPr>
          <w:rFonts w:ascii="Times New Roman" w:hAnsi="Times New Roman" w:eastAsia="Times New Roman" w:cs="Times New Roman"/>
        </w:rPr>
        <w:t xml:space="preserve">Границы территориальной зоны «Зона объектов культуры и искусства (</w:t>
      </w:r>
      <w:r>
        <w:rPr>
          <w:rFonts w:ascii="Times New Roman" w:hAnsi="Times New Roman" w:eastAsia="Times New Roman" w:cs="Times New Roman"/>
        </w:rPr>
        <w:t xml:space="preserve">ОсКи</w:t>
      </w:r>
      <w:r>
        <w:rPr>
          <w:rFonts w:ascii="Times New Roman" w:hAnsi="Times New Roman" w:eastAsia="Times New Roman" w:cs="Times New Roman"/>
        </w:rPr>
        <w:t xml:space="preserve">)/(ОсКи-Бур1)»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23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Границы территориальной зоны «Зона объектов здравоохранения (</w:t>
      </w:r>
      <w:r>
        <w:rPr>
          <w:rFonts w:ascii="Times New Roman" w:hAnsi="Times New Roman" w:eastAsia="Times New Roman" w:cs="Times New Roman"/>
        </w:rPr>
        <w:t xml:space="preserve">ОсЗ</w:t>
      </w:r>
      <w:r>
        <w:rPr>
          <w:rFonts w:ascii="Times New Roman" w:hAnsi="Times New Roman" w:eastAsia="Times New Roman" w:cs="Times New Roman"/>
        </w:rPr>
        <w:t xml:space="preserve">)/(ОсЗ-Бур1)» устанавливаются только в границах населенного пункта поселения</w:t>
      </w:r>
      <w:r>
        <w:rPr>
          <w:rFonts w:ascii="Times New Roman" w:hAnsi="Times New Roman" w:eastAsia="Times New Roman" w:cs="Times New Roman"/>
        </w:rPr>
        <w:t xml:space="preserve">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24">
    <w:p>
      <w:pPr>
        <w:pStyle w:val="1662"/>
        <w:rPr>
          <w:rFonts w:ascii="Times New Roman" w:hAnsi="Times New Roman" w:cs="Times New Roman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</w:rPr>
        <w:t xml:space="preserve">Границы территориальной зоны «Зона объектов физической культуры и массового спорта (</w:t>
      </w:r>
      <w:r>
        <w:rPr>
          <w:rFonts w:ascii="Times New Roman" w:hAnsi="Times New Roman" w:eastAsia="Times New Roman" w:cs="Times New Roman"/>
        </w:rPr>
        <w:t xml:space="preserve">ОсФС</w:t>
      </w:r>
      <w:r>
        <w:rPr>
          <w:rFonts w:ascii="Times New Roman" w:hAnsi="Times New Roman" w:eastAsia="Times New Roman" w:cs="Times New Roman"/>
        </w:rPr>
        <w:t xml:space="preserve">)/(ОсФС-Бур1)» устанавливаются только в границах населенного пункта поселения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25">
    <w:p>
      <w:pPr>
        <w:pStyle w:val="1662"/>
        <w:rPr>
          <w:rFonts w:ascii="Times New Roman" w:hAnsi="Times New Roman" w:cs="Times New Roman"/>
          <w:sz w:val="20"/>
          <w:szCs w:val="20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26">
    <w:p>
      <w:pPr>
        <w:rPr>
          <w:rFonts w:ascii="Times New Roman" w:hAnsi="Times New Roman" w:cs="Times New Roman"/>
          <w14:ligatures w14:val="none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rFonts w:ascii="Times New Roman" w:hAnsi="Times New Roman" w:cs="Times New Roman"/>
        </w:rPr>
        <w:t xml:space="preserve">г</w:t>
      </w:r>
      <w:r>
        <w:rPr>
          <w:rFonts w:ascii="Times New Roman" w:hAnsi="Times New Roman" w:cs="Times New Roman"/>
        </w:rP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rFonts w:ascii="Times New Roman" w:hAnsi="Times New Roman" w:cs="Times New Roman"/>
        </w:rPr>
        <w:t xml:space="preserve">х</w:t>
      </w:r>
      <w:r>
        <w:rPr>
          <w:rFonts w:ascii="Times New Roman" w:hAnsi="Times New Roman" w:cs="Times New Roman"/>
        </w:rP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rPr>
          <w:rFonts w:ascii="Times New Roman" w:hAnsi="Times New Roman" w:cs="Times New Roman"/>
        </w:rPr>
        <w:t xml:space="preserve">тельством Российской Федерации.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  <w14:ligatures w14:val="none"/>
        </w:rPr>
      </w:r>
    </w:p>
  </w:footnote>
  <w:footnote w:id="27">
    <w:p>
      <w:pPr>
        <w:pStyle w:val="1679"/>
      </w:pPr>
      <w:r>
        <w:rPr>
          <w:rStyle w:val="1820"/>
          <w:rFonts w:ascii="Times New Roman" w:hAnsi="Times New Roman" w:cs="Times New Roman"/>
        </w:rPr>
        <w:footnoteRef/>
      </w:r>
      <w:r>
        <w:t xml:space="preserve"> </w:t>
      </w:r>
      <w:r>
        <w:rPr>
          <w:rFonts w:ascii="Times New Roman" w:hAnsi="Times New Roman" w:cs="Times New Roman"/>
        </w:rPr>
        <w:t xml:space="preserve">Процент общей площади объектов обслуживания жилой застройки во встроенных, пристроенных и встроенно-пристроенных помещениях многоквартирного дома к общей площади помещений дома в соответствии с приказом</w:t>
      </w:r>
      <w:r>
        <w:rPr>
          <w:rFonts w:ascii="Times New Roman" w:hAnsi="Times New Roman" w:cs="Times New Roman"/>
        </w:rPr>
        <w:t xml:space="preserve"> Федеральной службы государственной регистрации, кадастра и картографии от 10.11.2020 № П/0412</w:t>
      </w:r>
      <w:r>
        <w:rPr>
          <w:rFonts w:ascii="Times New Roman" w:hAnsi="Times New Roman" w:cs="Times New Roman"/>
        </w:rPr>
        <w:t xml:space="preserve">. Применяется для многоквартирной жилой застройки.</w:t>
      </w:r>
      <w:r/>
    </w:p>
  </w:footnote>
  <w:footnote w:id="28">
    <w:p>
      <w:pPr>
        <w:pStyle w:val="1818"/>
      </w:pPr>
      <w:r>
        <w:rPr>
          <w:rStyle w:val="1820"/>
        </w:rPr>
        <w:footnoteRef/>
      </w:r>
      <w:r>
        <w:t xml:space="preserve"> S min - предельные минимальные размеры земельных участков</w:t>
      </w:r>
      <w:r>
        <w:t xml:space="preserve">.</w:t>
      </w:r>
      <w:r/>
    </w:p>
  </w:footnote>
  <w:footnote w:id="29">
    <w:p>
      <w:pPr>
        <w:pStyle w:val="1818"/>
      </w:pPr>
      <w:r>
        <w:rPr>
          <w:rStyle w:val="1820"/>
        </w:rPr>
        <w:footnoteRef/>
      </w:r>
      <w:r>
        <w:t xml:space="preserve"> S max - предельные максимальные размеры земельных участков</w:t>
      </w:r>
      <w:r>
        <w:t xml:space="preserve">.</w:t>
      </w:r>
      <w:r/>
    </w:p>
  </w:footnote>
  <w:footnote w:id="30">
    <w:p>
      <w:pPr>
        <w:pStyle w:val="1818"/>
      </w:pPr>
      <w:r>
        <w:rPr>
          <w:rStyle w:val="1820"/>
        </w:rPr>
        <w:footnoteRef/>
      </w:r>
      <w:r>
        <w:t xml:space="preserve"> Отступ min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</w:r>
      <w:r>
        <w:t xml:space="preserve">.</w:t>
      </w:r>
      <w:r/>
    </w:p>
  </w:footnote>
  <w:footnote w:id="31">
    <w:p>
      <w:pPr>
        <w:pStyle w:val="1818"/>
      </w:pPr>
      <w:r>
        <w:rPr>
          <w:rStyle w:val="1820"/>
        </w:rPr>
        <w:footnoteRef/>
      </w:r>
      <w:r>
        <w:t xml:space="preserve"> Этаж min - предельное минимальное количество надземных этажей зданий, строений, сооружений</w:t>
      </w:r>
      <w:r>
        <w:t xml:space="preserve">.</w:t>
      </w:r>
      <w:r/>
    </w:p>
  </w:footnote>
  <w:footnote w:id="32">
    <w:p>
      <w:pPr>
        <w:pStyle w:val="1818"/>
      </w:pPr>
      <w:r>
        <w:rPr>
          <w:rStyle w:val="1820"/>
        </w:rPr>
        <w:footnoteRef/>
      </w:r>
      <w:r>
        <w:t xml:space="preserve"> Этаж max - предельное максимальное количество надземных этажей зданий, строений, сооружений</w:t>
      </w:r>
      <w:r>
        <w:t xml:space="preserve">.</w:t>
      </w:r>
      <w:r/>
    </w:p>
  </w:footnote>
  <w:footnote w:id="33">
    <w:p>
      <w:pPr>
        <w:pStyle w:val="1818"/>
      </w:pPr>
      <w:r>
        <w:rPr>
          <w:rStyle w:val="1820"/>
        </w:rPr>
        <w:footnoteRef/>
      </w:r>
      <w:r>
        <w:t xml:space="preserve"> Процент застройки min – минимальный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34">
    <w:p>
      <w:pPr>
        <w:pStyle w:val="1818"/>
      </w:pPr>
      <w:r>
        <w:rPr>
          <w:rStyle w:val="1820"/>
        </w:rPr>
        <w:footnoteRef/>
      </w:r>
      <w:r>
        <w:t xml:space="preserve"> Процент застройки max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35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36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37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38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39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40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41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/>
    </w:p>
  </w:footnote>
  <w:footnote w:id="42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43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0,12 га включительно</w:t>
      </w:r>
      <w:r>
        <w:t xml:space="preserve">.</w:t>
      </w:r>
      <w:r/>
    </w:p>
  </w:footnote>
  <w:footnote w:id="44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0,12 га до 0,3 га включительно</w:t>
      </w:r>
      <w:r>
        <w:t xml:space="preserve">.</w:t>
      </w:r>
      <w:r/>
    </w:p>
  </w:footnote>
  <w:footnote w:id="45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0,03 га до 0,06 га включительно</w:t>
      </w:r>
      <w:r>
        <w:t xml:space="preserve">.</w:t>
      </w:r>
      <w:r/>
    </w:p>
  </w:footnote>
  <w:footnote w:id="46">
    <w:p>
      <w:pPr>
        <w:pStyle w:val="1818"/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</w:t>
      </w:r>
      <w:r>
        <w:t xml:space="preserve">земельных участков площадью от 0,06 га до 0,3 га включительно</w:t>
      </w:r>
      <w:r>
        <w:t xml:space="preserve">.</w:t>
      </w:r>
      <w:r/>
    </w:p>
  </w:footnote>
  <w:footnote w:id="47">
    <w:p>
      <w:pPr>
        <w:pStyle w:val="1818"/>
        <w:rPr>
          <w:sz w:val="24"/>
          <w:szCs w:val="24"/>
        </w:rPr>
      </w:pPr>
      <w:r>
        <w:rPr>
          <w:rStyle w:val="1820"/>
        </w:rPr>
        <w:footnoteRef/>
      </w:r>
      <w:r>
        <w:t xml:space="preserve"> Применяется </w:t>
      </w:r>
      <w:r>
        <w:t xml:space="preserve">п</w:t>
      </w:r>
      <w:r>
        <w:t xml:space="preserve">о линии блокирования жилых домов.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48">
    <w:p>
      <w:pPr>
        <w:pStyle w:val="1662"/>
        <w:rPr>
          <w:rFonts w:ascii="Times New Roman" w:hAnsi="Times New Roman" w:cs="Times New Roman"/>
          <w:sz w:val="20"/>
          <w:szCs w:val="20"/>
        </w:rPr>
      </w:pPr>
      <w:r>
        <w:rPr>
          <w:rStyle w:val="1664"/>
        </w:rPr>
        <w:footnoteRef/>
      </w:r>
      <w: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Применяется для земельных участков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 предоставляемых в безвозмездное пользование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, для организации садоводческого товарищества.</w:t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</w:footnote>
  <w:footnote w:id="49">
    <w:p>
      <w:pPr>
        <w:pStyle w:val="1818"/>
        <w:rPr>
          <w:highlight w:val="none"/>
        </w:rPr>
      </w:pPr>
      <w:r>
        <w:rPr>
          <w:rStyle w:val="1820"/>
        </w:rPr>
        <w:footnoteRef/>
      </w:r>
      <w:r>
        <w:t xml:space="preserve"> </w:t>
      </w:r>
      <w:r>
        <w:t xml:space="preserve">Применяется д</w:t>
      </w:r>
      <w:r>
        <w:t xml:space="preserve">ля хозяйственных построек, бань и гаражей, не требующих получения разрешения на строительство.</w:t>
      </w:r>
      <w:r>
        <w:rPr>
          <w:highlight w:val="none"/>
        </w:rPr>
      </w:r>
      <w:r>
        <w:rPr>
          <w:highlight w:val="none"/>
        </w:rPr>
      </w:r>
    </w:p>
    <w:p>
      <w:pPr>
        <w:pStyle w:val="1818"/>
      </w:pPr>
      <w:r>
        <w:rPr>
          <w:highlight w:val="none"/>
        </w:rPr>
      </w:r>
      <w:r>
        <w:rPr>
          <w:highlight w:val="none"/>
        </w:rPr>
      </w:r>
      <w:r/>
    </w:p>
  </w:footnote>
  <w:footnote w:id="50">
    <w:p>
      <w:pPr>
        <w:pStyle w:val="1679"/>
      </w:pPr>
      <w:r>
        <w:rPr>
          <w:rStyle w:val="1820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Не распространяется на относящиеся к землям сельскохозяйственного назначения садовые или огородные земельные участки, земельные участки, предназначенные</w:t>
      </w:r>
      <w:r>
        <w:t xml:space="preserve"> </w:t>
      </w:r>
      <w:r>
        <w:rPr>
          <w:rFonts w:ascii="Times New Roman" w:hAnsi="Times New Roman" w:cs="Times New Roman"/>
        </w:rPr>
        <w:t xml:space="preserve">для ведения личного подсобного хозяйства, гар</w:t>
      </w:r>
      <w:r>
        <w:rPr>
          <w:rFonts w:ascii="Times New Roman" w:hAnsi="Times New Roman" w:cs="Times New Roman"/>
        </w:rPr>
        <w:t xml:space="preserve">ажного строительства (в том числе индивидуального гаражного строительства), а также на земельные участки, на которых расположены объекты недвижимого имущества в соответствии с п. 7 статьи 27 «Земельного кодекса Российской Федерации» от 25.10.2001 № 136-ФЗ.</w:t>
      </w:r>
      <w:r/>
    </w:p>
    <w:p>
      <w:pPr>
        <w:pStyle w:val="1818"/>
      </w:pPr>
      <w:r/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702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ru-RU"/>
      </w:rPr>
      <w:t xml:space="preserve">2</w:t>
    </w:r>
    <w:r>
      <w:fldChar w:fldCharType="end"/>
    </w:r>
    <w:r/>
  </w:p>
  <w:p>
    <w:pPr>
      <w:pStyle w:val="1702"/>
      <w:jc w:val="center"/>
      <w:tabs>
        <w:tab w:val="clear" w:pos="4677" w:leader="none"/>
        <w:tab w:val="clear" w:pos="9355" w:leader="none"/>
        <w:tab w:val="left" w:pos="12360" w:leader="none"/>
      </w:tabs>
      <w:rPr>
        <w:lang w:val="ru-RU"/>
      </w:rPr>
    </w:pPr>
    <w:r>
      <w:rPr>
        <w:lang w:val="ru-RU"/>
      </w:rPr>
    </w:r>
    <w:r>
      <w:rPr>
        <w:lang w:val="ru-RU"/>
      </w:rPr>
    </w:r>
    <w:r>
      <w:rPr>
        <w:lang w:val="ru-RU"/>
      </w:rPr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2154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">
    <w:multiLevelType w:val="hybridMultilevel"/>
    <w:lvl w:ilvl="0">
      <w:start w:val="1"/>
      <w:numFmt w:val="decimal"/>
      <w:pStyle w:val="2145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2">
    <w:multiLevelType w:val="hybridMultilevel"/>
    <w:lvl w:ilvl="0">
      <w:start w:val="1"/>
      <w:numFmt w:val="decimal"/>
      <w:pStyle w:val="2166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429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29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89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789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49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09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509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869" w:hanging="2160"/>
      </w:pPr>
    </w:lvl>
  </w:abstractNum>
  <w:abstractNum w:abstractNumId="3">
    <w:multiLevelType w:val="hybridMultilevel"/>
    <w:lvl w:ilvl="0">
      <w:start w:val="1"/>
      <w:numFmt w:val="decimal"/>
      <w:pStyle w:val="2158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4">
    <w:multiLevelType w:val="hybridMultilevel"/>
    <w:lvl w:ilvl="0">
      <w:start w:val="1"/>
      <w:numFmt w:val="bullet"/>
      <w:pStyle w:val="1744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6">
    <w:multiLevelType w:val="hybridMultilevel"/>
    <w:lvl w:ilvl="0">
      <w:start w:val="1"/>
      <w:numFmt w:val="decimal"/>
      <w:pStyle w:val="2160"/>
      <w:isLgl w:val="false"/>
      <w:suff w:val="tab"/>
      <w:lvlText w:val="%1)"/>
      <w:lvlJc w:val="left"/>
      <w:pPr>
        <w:ind w:left="360" w:hanging="360"/>
        <w:tabs>
          <w:tab w:val="num" w:pos="36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1980" w:hanging="180"/>
        <w:tabs>
          <w:tab w:val="num" w:pos="198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700" w:hanging="360"/>
        <w:tabs>
          <w:tab w:val="num" w:pos="270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420" w:hanging="360"/>
        <w:tabs>
          <w:tab w:val="num" w:pos="342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140" w:hanging="180"/>
        <w:tabs>
          <w:tab w:val="num" w:pos="414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4860" w:hanging="360"/>
        <w:tabs>
          <w:tab w:val="num" w:pos="486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580" w:hanging="360"/>
        <w:tabs>
          <w:tab w:val="num" w:pos="558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300" w:hanging="180"/>
        <w:tabs>
          <w:tab w:val="num" w:pos="6300" w:leader="none"/>
        </w:tabs>
      </w:pPr>
    </w:lvl>
  </w:abstractNum>
  <w:abstractNum w:abstractNumId="7">
    <w:multiLevelType w:val="hybridMultilevel"/>
    <w:lvl w:ilvl="0">
      <w:start w:val="1"/>
      <w:numFmt w:val="decimal"/>
      <w:pStyle w:val="2161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8">
    <w:multiLevelType w:val="hybridMultilevel"/>
    <w:lvl w:ilvl="0">
      <w:start w:val="1"/>
      <w:numFmt w:val="decimal"/>
      <w:pStyle w:val="2163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9">
    <w:multiLevelType w:val="hybridMultilevel"/>
    <w:lvl w:ilvl="0">
      <w:start w:val="1"/>
      <w:numFmt w:val="decimal"/>
      <w:pStyle w:val="2159"/>
      <w:isLgl w:val="false"/>
      <w:suff w:val="tab"/>
      <w:lvlText w:val="%1."/>
      <w:lvlJc w:val="left"/>
      <w:pPr>
        <w:ind w:left="86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8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0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2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4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46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8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0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22" w:hanging="180"/>
      </w:pPr>
    </w:lvl>
  </w:abstractNum>
  <w:abstractNum w:abstractNumId="10">
    <w:multiLevelType w:val="hybridMultilevel"/>
    <w:lvl w:ilvl="0">
      <w:start w:val="1"/>
      <w:numFmt w:val="upperRoman"/>
      <w:pStyle w:val="2136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2">
    <w:multiLevelType w:val="hybridMultilevel"/>
    <w:lvl w:ilvl="0">
      <w:start w:val="1"/>
      <w:numFmt w:val="decimal"/>
      <w:pStyle w:val="2155"/>
      <w:isLgl w:val="false"/>
      <w:suff w:val="tab"/>
      <w:lvlText w:val="%1"/>
      <w:lvlJc w:val="left"/>
      <w:pPr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decimal"/>
      <w:pStyle w:val="2157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0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6">
    <w:multiLevelType w:val="hybridMultilevel"/>
    <w:lvl w:ilvl="0">
      <w:start w:val="1"/>
      <w:numFmt w:val="decimal"/>
      <w:pStyle w:val="2151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249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6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8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0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2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4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6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8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09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5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hint="default"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930" w:hanging="567"/>
      </w:pPr>
      <w:rPr>
        <w:rFonts w:hint="default"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num w:numId="1">
    <w:abstractNumId w:val="4"/>
  </w:num>
  <w:num w:numId="2">
    <w:abstractNumId w:val="15"/>
  </w:num>
  <w:num w:numId="3">
    <w:abstractNumId w:val="10"/>
  </w:num>
  <w:num w:numId="4">
    <w:abstractNumId w:val="13"/>
  </w:num>
  <w:num w:numId="5">
    <w:abstractNumId w:val="16"/>
  </w:num>
  <w:num w:numId="6">
    <w:abstractNumId w:val="2"/>
  </w:num>
  <w:num w:numId="7">
    <w:abstractNumId w:val="8"/>
  </w:num>
  <w:num w:numId="8">
    <w:abstractNumId w:val="1"/>
  </w:num>
  <w:num w:numId="9">
    <w:abstractNumId w:val="5"/>
  </w:num>
  <w:num w:numId="10">
    <w:abstractNumId w:val="11"/>
  </w:num>
  <w:num w:numId="11">
    <w:abstractNumId w:val="9"/>
  </w:num>
  <w:num w:numId="12">
    <w:abstractNumId w:val="3"/>
  </w:num>
  <w:num w:numId="13">
    <w:abstractNumId w:val="7"/>
  </w:num>
  <w:num w:numId="14">
    <w:abstractNumId w:val="6"/>
  </w:num>
  <w:num w:numId="15">
    <w:abstractNumId w:val="12"/>
  </w:num>
  <w:num w:numId="16">
    <w:abstractNumId w:val="0"/>
  </w:num>
  <w:num w:numId="17">
    <w:abstractNumId w:val="14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502">
    <w:name w:val="Heading 1"/>
    <w:basedOn w:val="1679"/>
    <w:next w:val="1679"/>
    <w:link w:val="1503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503">
    <w:name w:val="Heading 1 Char"/>
    <w:link w:val="1502"/>
    <w:uiPriority w:val="9"/>
    <w:rPr>
      <w:rFonts w:ascii="Arial" w:hAnsi="Arial" w:eastAsia="Arial" w:cs="Arial"/>
      <w:sz w:val="40"/>
      <w:szCs w:val="40"/>
    </w:rPr>
  </w:style>
  <w:style w:type="paragraph" w:styleId="1504">
    <w:name w:val="Heading 2"/>
    <w:basedOn w:val="1679"/>
    <w:next w:val="1679"/>
    <w:link w:val="150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505">
    <w:name w:val="Heading 2 Char"/>
    <w:link w:val="1504"/>
    <w:uiPriority w:val="9"/>
    <w:rPr>
      <w:rFonts w:ascii="Arial" w:hAnsi="Arial" w:eastAsia="Arial" w:cs="Arial"/>
      <w:sz w:val="34"/>
    </w:rPr>
  </w:style>
  <w:style w:type="paragraph" w:styleId="1506">
    <w:name w:val="Heading 3"/>
    <w:basedOn w:val="1679"/>
    <w:next w:val="1679"/>
    <w:link w:val="1507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507">
    <w:name w:val="Heading 3 Char"/>
    <w:link w:val="1506"/>
    <w:uiPriority w:val="9"/>
    <w:rPr>
      <w:rFonts w:ascii="Arial" w:hAnsi="Arial" w:eastAsia="Arial" w:cs="Arial"/>
      <w:sz w:val="30"/>
      <w:szCs w:val="30"/>
    </w:rPr>
  </w:style>
  <w:style w:type="paragraph" w:styleId="1508">
    <w:name w:val="Heading 4"/>
    <w:basedOn w:val="1679"/>
    <w:next w:val="1679"/>
    <w:link w:val="150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1509">
    <w:name w:val="Heading 4 Char"/>
    <w:link w:val="1508"/>
    <w:uiPriority w:val="9"/>
    <w:rPr>
      <w:rFonts w:ascii="Arial" w:hAnsi="Arial" w:eastAsia="Arial" w:cs="Arial"/>
      <w:b/>
      <w:bCs/>
      <w:sz w:val="26"/>
      <w:szCs w:val="26"/>
    </w:rPr>
  </w:style>
  <w:style w:type="paragraph" w:styleId="1510">
    <w:name w:val="Heading 5"/>
    <w:basedOn w:val="1679"/>
    <w:next w:val="1679"/>
    <w:link w:val="1511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1511">
    <w:name w:val="Heading 5 Char"/>
    <w:link w:val="1510"/>
    <w:uiPriority w:val="9"/>
    <w:rPr>
      <w:rFonts w:ascii="Arial" w:hAnsi="Arial" w:eastAsia="Arial" w:cs="Arial"/>
      <w:b/>
      <w:bCs/>
      <w:sz w:val="24"/>
      <w:szCs w:val="24"/>
    </w:rPr>
  </w:style>
  <w:style w:type="paragraph" w:styleId="1512">
    <w:name w:val="Heading 6"/>
    <w:basedOn w:val="1679"/>
    <w:next w:val="1679"/>
    <w:link w:val="1513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1513">
    <w:name w:val="Heading 6 Char"/>
    <w:link w:val="1512"/>
    <w:uiPriority w:val="9"/>
    <w:rPr>
      <w:rFonts w:ascii="Arial" w:hAnsi="Arial" w:eastAsia="Arial" w:cs="Arial"/>
      <w:b/>
      <w:bCs/>
      <w:sz w:val="22"/>
      <w:szCs w:val="22"/>
    </w:rPr>
  </w:style>
  <w:style w:type="paragraph" w:styleId="1514">
    <w:name w:val="Heading 7"/>
    <w:basedOn w:val="1679"/>
    <w:next w:val="1679"/>
    <w:link w:val="151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1515">
    <w:name w:val="Heading 7 Char"/>
    <w:link w:val="151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1516">
    <w:name w:val="Heading 8"/>
    <w:basedOn w:val="1679"/>
    <w:next w:val="1679"/>
    <w:link w:val="151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1517">
    <w:name w:val="Heading 8 Char"/>
    <w:link w:val="1516"/>
    <w:uiPriority w:val="9"/>
    <w:rPr>
      <w:rFonts w:ascii="Arial" w:hAnsi="Arial" w:eastAsia="Arial" w:cs="Arial"/>
      <w:i/>
      <w:iCs/>
      <w:sz w:val="22"/>
      <w:szCs w:val="22"/>
    </w:rPr>
  </w:style>
  <w:style w:type="paragraph" w:styleId="1518">
    <w:name w:val="Heading 9"/>
    <w:basedOn w:val="1679"/>
    <w:next w:val="1679"/>
    <w:link w:val="1519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1519">
    <w:name w:val="Heading 9 Char"/>
    <w:link w:val="1518"/>
    <w:uiPriority w:val="9"/>
    <w:rPr>
      <w:rFonts w:ascii="Arial" w:hAnsi="Arial" w:eastAsia="Arial" w:cs="Arial"/>
      <w:i/>
      <w:iCs/>
      <w:sz w:val="21"/>
      <w:szCs w:val="21"/>
    </w:rPr>
  </w:style>
  <w:style w:type="paragraph" w:styleId="1520">
    <w:name w:val="No Spacing"/>
    <w:uiPriority w:val="1"/>
    <w:qFormat/>
    <w:pPr>
      <w:spacing w:before="0" w:after="0" w:line="240" w:lineRule="auto"/>
    </w:pPr>
  </w:style>
  <w:style w:type="paragraph" w:styleId="1521">
    <w:name w:val="Title"/>
    <w:basedOn w:val="1679"/>
    <w:next w:val="1679"/>
    <w:link w:val="1522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1522">
    <w:name w:val="Title Char"/>
    <w:link w:val="1521"/>
    <w:uiPriority w:val="10"/>
    <w:rPr>
      <w:sz w:val="48"/>
      <w:szCs w:val="48"/>
    </w:rPr>
  </w:style>
  <w:style w:type="paragraph" w:styleId="1523">
    <w:name w:val="Subtitle"/>
    <w:basedOn w:val="1679"/>
    <w:next w:val="1679"/>
    <w:link w:val="1524"/>
    <w:uiPriority w:val="11"/>
    <w:qFormat/>
    <w:pPr>
      <w:spacing w:before="200" w:after="200"/>
    </w:pPr>
    <w:rPr>
      <w:sz w:val="24"/>
      <w:szCs w:val="24"/>
    </w:rPr>
  </w:style>
  <w:style w:type="character" w:styleId="1524">
    <w:name w:val="Subtitle Char"/>
    <w:link w:val="1523"/>
    <w:uiPriority w:val="11"/>
    <w:rPr>
      <w:sz w:val="24"/>
      <w:szCs w:val="24"/>
    </w:rPr>
  </w:style>
  <w:style w:type="paragraph" w:styleId="1525">
    <w:name w:val="Quote"/>
    <w:basedOn w:val="1679"/>
    <w:next w:val="1679"/>
    <w:link w:val="1526"/>
    <w:uiPriority w:val="29"/>
    <w:qFormat/>
    <w:pPr>
      <w:ind w:left="720" w:right="720"/>
    </w:pPr>
    <w:rPr>
      <w:i/>
    </w:rPr>
  </w:style>
  <w:style w:type="character" w:styleId="1526">
    <w:name w:val="Quote Char"/>
    <w:link w:val="1525"/>
    <w:uiPriority w:val="29"/>
    <w:rPr>
      <w:i/>
    </w:rPr>
  </w:style>
  <w:style w:type="paragraph" w:styleId="1527">
    <w:name w:val="Intense Quote"/>
    <w:basedOn w:val="1679"/>
    <w:next w:val="1679"/>
    <w:link w:val="1528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528">
    <w:name w:val="Intense Quote Char"/>
    <w:link w:val="1527"/>
    <w:uiPriority w:val="30"/>
    <w:rPr>
      <w:i/>
    </w:rPr>
  </w:style>
  <w:style w:type="paragraph" w:styleId="1529">
    <w:name w:val="Header"/>
    <w:basedOn w:val="1679"/>
    <w:link w:val="1530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530">
    <w:name w:val="Header Char"/>
    <w:link w:val="1529"/>
    <w:uiPriority w:val="99"/>
  </w:style>
  <w:style w:type="paragraph" w:styleId="1531">
    <w:name w:val="Footer"/>
    <w:basedOn w:val="1679"/>
    <w:link w:val="153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532">
    <w:name w:val="Footer Char"/>
    <w:link w:val="1531"/>
    <w:uiPriority w:val="99"/>
  </w:style>
  <w:style w:type="paragraph" w:styleId="1533">
    <w:name w:val="Caption"/>
    <w:basedOn w:val="1679"/>
    <w:next w:val="167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1534">
    <w:name w:val="Caption Char"/>
    <w:basedOn w:val="1533"/>
    <w:link w:val="1531"/>
    <w:uiPriority w:val="99"/>
  </w:style>
  <w:style w:type="table" w:styleId="1535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36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37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38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39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540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1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542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3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4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5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6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7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8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9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0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1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2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3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4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5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6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7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8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9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0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1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2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3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564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1565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1566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1567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1568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1569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1570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1571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1572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1573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1574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1575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1576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1577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1578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1579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1580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1581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1582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583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584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5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6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7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8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89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0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1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2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3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4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5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6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7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8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599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600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601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602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603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604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605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6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7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8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09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0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1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2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3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4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5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6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7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8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9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20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21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22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23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24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25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26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627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628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629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630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631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632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633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634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635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636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637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638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639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640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41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42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43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4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45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46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47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48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49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50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51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2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53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54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55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56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57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658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659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660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661">
    <w:name w:val="Hyperlink"/>
    <w:uiPriority w:val="99"/>
    <w:unhideWhenUsed/>
    <w:rPr>
      <w:color w:val="0000ff" w:themeColor="hyperlink"/>
      <w:u w:val="single"/>
    </w:rPr>
  </w:style>
  <w:style w:type="paragraph" w:styleId="1662">
    <w:name w:val="footnote text"/>
    <w:basedOn w:val="1679"/>
    <w:link w:val="1663"/>
    <w:uiPriority w:val="99"/>
    <w:semiHidden/>
    <w:unhideWhenUsed/>
    <w:pPr>
      <w:spacing w:after="40" w:line="240" w:lineRule="auto"/>
    </w:pPr>
    <w:rPr>
      <w:sz w:val="18"/>
    </w:rPr>
  </w:style>
  <w:style w:type="character" w:styleId="1663">
    <w:name w:val="Footnote Text Char"/>
    <w:link w:val="1662"/>
    <w:uiPriority w:val="99"/>
    <w:rPr>
      <w:sz w:val="18"/>
    </w:rPr>
  </w:style>
  <w:style w:type="character" w:styleId="1664">
    <w:name w:val="footnote reference"/>
    <w:uiPriority w:val="99"/>
    <w:unhideWhenUsed/>
    <w:rPr>
      <w:vertAlign w:val="superscript"/>
    </w:rPr>
  </w:style>
  <w:style w:type="paragraph" w:styleId="1665">
    <w:name w:val="endnote text"/>
    <w:basedOn w:val="1679"/>
    <w:link w:val="1666"/>
    <w:uiPriority w:val="99"/>
    <w:semiHidden/>
    <w:unhideWhenUsed/>
    <w:pPr>
      <w:spacing w:after="0" w:line="240" w:lineRule="auto"/>
    </w:pPr>
    <w:rPr>
      <w:sz w:val="20"/>
    </w:rPr>
  </w:style>
  <w:style w:type="character" w:styleId="1666">
    <w:name w:val="Endnote Text Char"/>
    <w:link w:val="1665"/>
    <w:uiPriority w:val="99"/>
    <w:rPr>
      <w:sz w:val="20"/>
    </w:rPr>
  </w:style>
  <w:style w:type="character" w:styleId="1667">
    <w:name w:val="endnote reference"/>
    <w:uiPriority w:val="99"/>
    <w:semiHidden/>
    <w:unhideWhenUsed/>
    <w:rPr>
      <w:vertAlign w:val="superscript"/>
    </w:rPr>
  </w:style>
  <w:style w:type="paragraph" w:styleId="1668">
    <w:name w:val="toc 1"/>
    <w:basedOn w:val="1679"/>
    <w:next w:val="1679"/>
    <w:uiPriority w:val="39"/>
    <w:unhideWhenUsed/>
    <w:pPr>
      <w:ind w:left="0" w:right="0" w:firstLine="0"/>
      <w:spacing w:after="57"/>
    </w:pPr>
  </w:style>
  <w:style w:type="paragraph" w:styleId="1669">
    <w:name w:val="toc 2"/>
    <w:basedOn w:val="1679"/>
    <w:next w:val="1679"/>
    <w:uiPriority w:val="39"/>
    <w:unhideWhenUsed/>
    <w:pPr>
      <w:ind w:left="283" w:right="0" w:firstLine="0"/>
      <w:spacing w:after="57"/>
    </w:pPr>
  </w:style>
  <w:style w:type="paragraph" w:styleId="1670">
    <w:name w:val="toc 3"/>
    <w:basedOn w:val="1679"/>
    <w:next w:val="1679"/>
    <w:uiPriority w:val="39"/>
    <w:unhideWhenUsed/>
    <w:pPr>
      <w:ind w:left="567" w:right="0" w:firstLine="0"/>
      <w:spacing w:after="57"/>
    </w:pPr>
  </w:style>
  <w:style w:type="paragraph" w:styleId="1671">
    <w:name w:val="toc 4"/>
    <w:basedOn w:val="1679"/>
    <w:next w:val="1679"/>
    <w:uiPriority w:val="39"/>
    <w:unhideWhenUsed/>
    <w:pPr>
      <w:ind w:left="850" w:right="0" w:firstLine="0"/>
      <w:spacing w:after="57"/>
    </w:pPr>
  </w:style>
  <w:style w:type="paragraph" w:styleId="1672">
    <w:name w:val="toc 5"/>
    <w:basedOn w:val="1679"/>
    <w:next w:val="1679"/>
    <w:uiPriority w:val="39"/>
    <w:unhideWhenUsed/>
    <w:pPr>
      <w:ind w:left="1134" w:right="0" w:firstLine="0"/>
      <w:spacing w:after="57"/>
    </w:pPr>
  </w:style>
  <w:style w:type="paragraph" w:styleId="1673">
    <w:name w:val="toc 6"/>
    <w:basedOn w:val="1679"/>
    <w:next w:val="1679"/>
    <w:uiPriority w:val="39"/>
    <w:unhideWhenUsed/>
    <w:pPr>
      <w:ind w:left="1417" w:right="0" w:firstLine="0"/>
      <w:spacing w:after="57"/>
    </w:pPr>
  </w:style>
  <w:style w:type="paragraph" w:styleId="1674">
    <w:name w:val="toc 7"/>
    <w:basedOn w:val="1679"/>
    <w:next w:val="1679"/>
    <w:uiPriority w:val="39"/>
    <w:unhideWhenUsed/>
    <w:pPr>
      <w:ind w:left="1701" w:right="0" w:firstLine="0"/>
      <w:spacing w:after="57"/>
    </w:pPr>
  </w:style>
  <w:style w:type="paragraph" w:styleId="1675">
    <w:name w:val="toc 8"/>
    <w:basedOn w:val="1679"/>
    <w:next w:val="1679"/>
    <w:uiPriority w:val="39"/>
    <w:unhideWhenUsed/>
    <w:pPr>
      <w:ind w:left="1984" w:right="0" w:firstLine="0"/>
      <w:spacing w:after="57"/>
    </w:pPr>
  </w:style>
  <w:style w:type="paragraph" w:styleId="1676">
    <w:name w:val="toc 9"/>
    <w:basedOn w:val="1679"/>
    <w:next w:val="1679"/>
    <w:uiPriority w:val="39"/>
    <w:unhideWhenUsed/>
    <w:pPr>
      <w:ind w:left="2268" w:right="0" w:firstLine="0"/>
      <w:spacing w:after="57"/>
    </w:pPr>
  </w:style>
  <w:style w:type="paragraph" w:styleId="1677">
    <w:name w:val="TOC Heading"/>
    <w:uiPriority w:val="39"/>
    <w:unhideWhenUsed/>
  </w:style>
  <w:style w:type="paragraph" w:styleId="1678">
    <w:name w:val="table of figures"/>
    <w:basedOn w:val="1679"/>
    <w:next w:val="1679"/>
    <w:uiPriority w:val="99"/>
    <w:unhideWhenUsed/>
    <w:pPr>
      <w:spacing w:after="0" w:afterAutospacing="0"/>
    </w:pPr>
  </w:style>
  <w:style w:type="paragraph" w:styleId="1679" w:default="1">
    <w:name w:val="Normal"/>
    <w:next w:val="1679"/>
    <w:link w:val="1679"/>
    <w:qFormat/>
    <w:pPr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680">
    <w:name w:val="Заголовок 1"/>
    <w:basedOn w:val="1679"/>
    <w:next w:val="1679"/>
    <w:link w:val="1692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681">
    <w:name w:val="Заголовок 2"/>
    <w:basedOn w:val="1679"/>
    <w:next w:val="1679"/>
    <w:link w:val="1754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682">
    <w:name w:val="Заголовок 3"/>
    <w:basedOn w:val="1679"/>
    <w:next w:val="1679"/>
    <w:link w:val="1693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683">
    <w:name w:val="Заголовок 4"/>
    <w:basedOn w:val="1679"/>
    <w:next w:val="1679"/>
    <w:link w:val="1694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684">
    <w:name w:val="Заголовок 5"/>
    <w:basedOn w:val="1679"/>
    <w:next w:val="1679"/>
    <w:link w:val="1787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85">
    <w:name w:val="Заголовок 6"/>
    <w:basedOn w:val="1679"/>
    <w:next w:val="1679"/>
    <w:link w:val="1788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686">
    <w:name w:val="Заголовок 7"/>
    <w:basedOn w:val="1679"/>
    <w:next w:val="1679"/>
    <w:link w:val="1789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87">
    <w:name w:val="Заголовок 8"/>
    <w:basedOn w:val="1679"/>
    <w:next w:val="1679"/>
    <w:link w:val="1790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688">
    <w:name w:val="Заголовок 9"/>
    <w:basedOn w:val="1679"/>
    <w:next w:val="1679"/>
    <w:link w:val="1791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689">
    <w:name w:val="Основной шрифт абзаца"/>
    <w:next w:val="1689"/>
    <w:link w:val="1679"/>
    <w:semiHidden/>
  </w:style>
  <w:style w:type="table" w:styleId="1690">
    <w:name w:val="Обычная таблица"/>
    <w:next w:val="1690"/>
    <w:link w:val="1679"/>
    <w:semiHidden/>
    <w:tblPr/>
  </w:style>
  <w:style w:type="numbering" w:styleId="1691">
    <w:name w:val="Нет списка"/>
    <w:next w:val="1691"/>
    <w:link w:val="1679"/>
    <w:uiPriority w:val="99"/>
    <w:semiHidden/>
  </w:style>
  <w:style w:type="character" w:styleId="1692">
    <w:name w:val="Заголовок 1 Знак1"/>
    <w:next w:val="1692"/>
    <w:link w:val="1680"/>
    <w:rPr>
      <w:b/>
      <w:bCs/>
      <w:sz w:val="28"/>
      <w:szCs w:val="32"/>
    </w:rPr>
  </w:style>
  <w:style w:type="character" w:styleId="1693">
    <w:name w:val="Заголовок 3 Знак1"/>
    <w:next w:val="1693"/>
    <w:link w:val="1682"/>
    <w:rPr>
      <w:b/>
      <w:bCs/>
      <w:sz w:val="28"/>
      <w:szCs w:val="28"/>
    </w:rPr>
  </w:style>
  <w:style w:type="character" w:styleId="1694">
    <w:name w:val="Заголовок 4 Знак1"/>
    <w:next w:val="1694"/>
    <w:link w:val="1683"/>
    <w:rPr>
      <w:b/>
      <w:bCs/>
      <w:sz w:val="28"/>
      <w:szCs w:val="28"/>
    </w:rPr>
  </w:style>
  <w:style w:type="paragraph" w:styleId="1695">
    <w:name w:val="Нижний колонтитул"/>
    <w:basedOn w:val="1679"/>
    <w:next w:val="1695"/>
    <w:link w:val="1696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696">
    <w:name w:val="Нижний колонтитул Знак1"/>
    <w:next w:val="1696"/>
    <w:link w:val="1695"/>
    <w:rPr>
      <w:rFonts w:ascii="Arial" w:hAnsi="Arial" w:cs="Arial"/>
    </w:rPr>
  </w:style>
  <w:style w:type="character" w:styleId="1697">
    <w:name w:val="Номер страницы"/>
    <w:basedOn w:val="1689"/>
    <w:next w:val="1697"/>
    <w:link w:val="1679"/>
  </w:style>
  <w:style w:type="paragraph" w:styleId="1698">
    <w:name w:val="Îáû÷íûé"/>
    <w:next w:val="1698"/>
    <w:link w:val="1679"/>
    <w:uiPriority w:val="99"/>
    <w:pPr>
      <w:jc w:val="both"/>
    </w:pPr>
    <w:rPr>
      <w:sz w:val="24"/>
      <w:lang w:val="ru-RU" w:eastAsia="ru-RU" w:bidi="ar-SA"/>
    </w:rPr>
  </w:style>
  <w:style w:type="paragraph" w:styleId="1699">
    <w:name w:val="Текст выноски"/>
    <w:basedOn w:val="1679"/>
    <w:next w:val="1699"/>
    <w:link w:val="1755"/>
    <w:rPr>
      <w:rFonts w:ascii="Tahoma" w:hAnsi="Tahoma" w:cs="Times New Roman"/>
      <w:sz w:val="16"/>
      <w:szCs w:val="16"/>
      <w:lang w:val="en-US" w:eastAsia="en-US"/>
    </w:rPr>
  </w:style>
  <w:style w:type="paragraph" w:styleId="1700">
    <w:name w:val="Оглавление 2"/>
    <w:basedOn w:val="1679"/>
    <w:next w:val="1679"/>
    <w:link w:val="1679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character" w:styleId="1701">
    <w:name w:val="Гиперссылка"/>
    <w:next w:val="1701"/>
    <w:link w:val="1679"/>
    <w:rPr>
      <w:color w:val="0000ff"/>
      <w:u w:val="single"/>
    </w:rPr>
  </w:style>
  <w:style w:type="paragraph" w:styleId="1702">
    <w:name w:val="Верхний колонтитул,ВерхКолонтитул"/>
    <w:basedOn w:val="1679"/>
    <w:next w:val="1702"/>
    <w:link w:val="1703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703">
    <w:name w:val="Верхний колонтитул Знак1"/>
    <w:next w:val="1703"/>
    <w:link w:val="1702"/>
    <w:uiPriority w:val="99"/>
    <w:rPr>
      <w:rFonts w:ascii="Arial" w:hAnsi="Arial" w:cs="Arial"/>
    </w:rPr>
  </w:style>
  <w:style w:type="paragraph" w:styleId="1704">
    <w:name w:val="Arial Narrow 13 pt по ширине Первая строка:  1 см"/>
    <w:basedOn w:val="1698"/>
    <w:next w:val="1704"/>
    <w:link w:val="1679"/>
    <w:pPr>
      <w:ind w:firstLine="567"/>
    </w:pPr>
    <w:rPr>
      <w:rFonts w:ascii="Arial Narrow" w:hAnsi="Arial Narrow"/>
      <w:sz w:val="26"/>
      <w:lang w:val="en-US"/>
    </w:rPr>
  </w:style>
  <w:style w:type="paragraph" w:styleId="1705">
    <w:name w:val="аква3"/>
    <w:basedOn w:val="1679"/>
    <w:next w:val="1705"/>
    <w:link w:val="1679"/>
    <w:uiPriority w:val="99"/>
    <w:pPr>
      <w:ind w:firstLine="709"/>
      <w:jc w:val="both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706">
    <w:name w:val="аква"/>
    <w:basedOn w:val="1679"/>
    <w:next w:val="1706"/>
    <w:link w:val="1679"/>
    <w:uiPriority w:val="99"/>
    <w:pPr>
      <w:ind w:firstLine="709"/>
      <w:jc w:val="both"/>
      <w:widowControl/>
    </w:pPr>
    <w:rPr>
      <w:rFonts w:ascii="Book Antiqua" w:hAnsi="Book Antiqua" w:cs="Times New Roman"/>
      <w:sz w:val="28"/>
      <w:szCs w:val="24"/>
    </w:rPr>
  </w:style>
  <w:style w:type="paragraph" w:styleId="1707">
    <w:name w:val="NAmber"/>
    <w:basedOn w:val="1706"/>
    <w:next w:val="1707"/>
    <w:link w:val="1679"/>
    <w:uiPriority w:val="99"/>
    <w:pPr>
      <w:jc w:val="center"/>
    </w:pPr>
    <w:rPr>
      <w:rFonts w:ascii="Gaze" w:hAnsi="Gaze"/>
      <w:b/>
      <w:bCs/>
      <w:sz w:val="36"/>
    </w:rPr>
  </w:style>
  <w:style w:type="paragraph" w:styleId="1708">
    <w:name w:val="аквамарин"/>
    <w:basedOn w:val="1706"/>
    <w:next w:val="1708"/>
    <w:link w:val="1679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709">
    <w:name w:val="Стиль аква5 + 14 пт"/>
    <w:basedOn w:val="1679"/>
    <w:next w:val="1709"/>
    <w:link w:val="1679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710">
    <w:name w:val="Реферат"/>
    <w:basedOn w:val="1679"/>
    <w:next w:val="1710"/>
    <w:link w:val="1679"/>
    <w:uiPriority w:val="99"/>
    <w:pPr>
      <w:ind w:firstLine="709"/>
      <w:jc w:val="both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711">
    <w:name w:val="реферат"/>
    <w:basedOn w:val="1712"/>
    <w:next w:val="1711"/>
    <w:link w:val="1679"/>
    <w:uiPriority w:val="99"/>
    <w:pPr>
      <w:ind w:firstLine="709"/>
      <w:jc w:val="both"/>
      <w:spacing w:before="100" w:beforeAutospacing="1" w:after="100" w:afterAutospacing="1" w:line="360" w:lineRule="auto"/>
    </w:pPr>
  </w:style>
  <w:style w:type="paragraph" w:styleId="1712">
    <w:name w:val="Обычный (веб)"/>
    <w:basedOn w:val="1679"/>
    <w:next w:val="1712"/>
    <w:link w:val="1679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table" w:styleId="1713">
    <w:name w:val="Сетка таблицы"/>
    <w:basedOn w:val="1690"/>
    <w:next w:val="1713"/>
    <w:link w:val="1679"/>
    <w:uiPriority w:val="59"/>
    <w:tblPr/>
  </w:style>
  <w:style w:type="paragraph" w:styleId="1714">
    <w:name w:val="Основной текст 3"/>
    <w:basedOn w:val="1679"/>
    <w:next w:val="1714"/>
    <w:link w:val="1715"/>
    <w:pPr>
      <w:jc w:val="both"/>
    </w:pPr>
    <w:rPr>
      <w:rFonts w:ascii="Courier New" w:hAnsi="Courier New" w:cs="Times New Roman"/>
      <w:sz w:val="22"/>
      <w:lang w:val="en-US" w:eastAsia="en-US"/>
    </w:rPr>
  </w:style>
  <w:style w:type="character" w:styleId="1715">
    <w:name w:val="Основной текст 3 Знак2"/>
    <w:next w:val="1715"/>
    <w:link w:val="1714"/>
    <w:rPr>
      <w:rFonts w:ascii="Courier New" w:hAnsi="Courier New"/>
      <w:sz w:val="22"/>
    </w:rPr>
  </w:style>
  <w:style w:type="paragraph" w:styleId="1716">
    <w:name w:val="Основной текст"/>
    <w:basedOn w:val="1679"/>
    <w:next w:val="1716"/>
    <w:link w:val="1717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717">
    <w:name w:val="Основной текст Знак1"/>
    <w:next w:val="1717"/>
    <w:link w:val="1716"/>
    <w:rPr>
      <w:sz w:val="24"/>
      <w:szCs w:val="24"/>
    </w:rPr>
  </w:style>
  <w:style w:type="paragraph" w:styleId="1718">
    <w:name w:val="Основной текст с отступом"/>
    <w:basedOn w:val="1679"/>
    <w:next w:val="1718"/>
    <w:link w:val="1719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719">
    <w:name w:val="Основной текст с отступом Знак1"/>
    <w:next w:val="1719"/>
    <w:link w:val="1718"/>
    <w:rPr>
      <w:sz w:val="24"/>
      <w:szCs w:val="24"/>
    </w:rPr>
  </w:style>
  <w:style w:type="paragraph" w:styleId="1720">
    <w:name w:val="Список"/>
    <w:basedOn w:val="1679"/>
    <w:next w:val="1720"/>
    <w:link w:val="1679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721">
    <w:name w:val="ConsNormal"/>
    <w:next w:val="1721"/>
    <w:link w:val="1679"/>
    <w:pPr>
      <w:ind w:right="19772" w:firstLine="720"/>
      <w:jc w:val="both"/>
    </w:pPr>
    <w:rPr>
      <w:rFonts w:ascii="Arial" w:hAnsi="Arial" w:cs="Arial"/>
      <w:lang w:val="ru-RU" w:eastAsia="ru-RU" w:bidi="ar-SA"/>
    </w:rPr>
  </w:style>
  <w:style w:type="character" w:styleId="1722">
    <w:name w:val="fts-hit"/>
    <w:next w:val="1722"/>
    <w:link w:val="1679"/>
    <w:uiPriority w:val="99"/>
    <w:rPr>
      <w:shd w:val="clear" w:color="auto" w:fill="ffc0cb"/>
    </w:rPr>
  </w:style>
  <w:style w:type="paragraph" w:styleId="1723">
    <w:name w:val="ConsPlusNormal"/>
    <w:next w:val="1723"/>
    <w:link w:val="1778"/>
    <w:pPr>
      <w:ind w:firstLine="720"/>
      <w:jc w:val="both"/>
      <w:widowControl w:val="off"/>
    </w:pPr>
    <w:rPr>
      <w:rFonts w:ascii="Arial" w:hAnsi="Arial" w:cs="Arial"/>
      <w:lang w:val="ru-RU" w:eastAsia="ru-RU" w:bidi="ar-SA"/>
    </w:rPr>
  </w:style>
  <w:style w:type="paragraph" w:styleId="1724">
    <w:name w:val="Стандартный HTML"/>
    <w:basedOn w:val="1679"/>
    <w:next w:val="1724"/>
    <w:link w:val="1725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725">
    <w:name w:val="Стандартный HTML Знак1"/>
    <w:next w:val="1725"/>
    <w:link w:val="1724"/>
    <w:uiPriority w:val="99"/>
    <w:rPr>
      <w:rFonts w:ascii="Courier New" w:hAnsi="Courier New" w:cs="Courier New"/>
    </w:rPr>
  </w:style>
  <w:style w:type="character" w:styleId="1726">
    <w:name w:val="Строгий"/>
    <w:next w:val="1726"/>
    <w:link w:val="1679"/>
    <w:qFormat/>
    <w:rPr>
      <w:b/>
      <w:bCs/>
    </w:rPr>
  </w:style>
  <w:style w:type="paragraph" w:styleId="1727">
    <w:name w:val="Iau?iue"/>
    <w:next w:val="1727"/>
    <w:link w:val="1679"/>
    <w:pPr>
      <w:jc w:val="both"/>
      <w:widowControl w:val="off"/>
    </w:pPr>
    <w:rPr>
      <w:lang w:val="ru-RU" w:eastAsia="ar-SA" w:bidi="ar-SA"/>
    </w:rPr>
  </w:style>
  <w:style w:type="paragraph" w:styleId="1728">
    <w:name w:val="ConsPlusTitle"/>
    <w:next w:val="1728"/>
    <w:link w:val="1679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val="ru-RU" w:eastAsia="ru-RU" w:bidi="ar-SA"/>
    </w:rPr>
  </w:style>
  <w:style w:type="paragraph" w:styleId="1729">
    <w:name w:val="Стиль По ширине Перед:  6 пт"/>
    <w:basedOn w:val="1679"/>
    <w:next w:val="1729"/>
    <w:link w:val="1679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730">
    <w:name w:val="Стиль По ширине Первая строка:  1.25 см"/>
    <w:basedOn w:val="1679"/>
    <w:next w:val="1730"/>
    <w:link w:val="1679"/>
    <w:uiPriority w:val="99"/>
    <w:pPr>
      <w:ind w:firstLine="709"/>
      <w:jc w:val="both"/>
      <w:spacing w:before="120"/>
      <w:widowControl/>
    </w:pPr>
    <w:rPr>
      <w:rFonts w:ascii="Times New Roman" w:hAnsi="Times New Roman" w:cs="Times New Roman"/>
      <w:sz w:val="24"/>
    </w:rPr>
  </w:style>
  <w:style w:type="paragraph" w:styleId="1731">
    <w:name w:val="zagc-1"/>
    <w:basedOn w:val="1679"/>
    <w:next w:val="1731"/>
    <w:link w:val="1679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732">
    <w:name w:val="Iau?iue3"/>
    <w:next w:val="1732"/>
    <w:link w:val="1679"/>
    <w:uiPriority w:val="99"/>
    <w:pPr>
      <w:jc w:val="both"/>
      <w:widowControl w:val="off"/>
    </w:pPr>
    <w:rPr>
      <w:lang w:val="ru-RU" w:eastAsia="ru-RU" w:bidi="ar-SA"/>
    </w:rPr>
  </w:style>
  <w:style w:type="paragraph" w:styleId="1733">
    <w:name w:val="Абзац списка"/>
    <w:basedOn w:val="1679"/>
    <w:next w:val="1733"/>
    <w:link w:val="1824"/>
    <w:uiPriority w:val="34"/>
    <w:qFormat/>
    <w:pPr>
      <w:contextualSpacing/>
      <w:ind w:left="720"/>
      <w:spacing w:after="200" w:line="276" w:lineRule="auto"/>
      <w:widowControl/>
    </w:pPr>
    <w:rPr>
      <w:rFonts w:ascii="Times New Roman" w:hAnsi="Times New Roman" w:cs="Times New Roman"/>
      <w:sz w:val="22"/>
      <w:szCs w:val="22"/>
      <w:lang w:val="en-US" w:eastAsia="en-US"/>
    </w:rPr>
  </w:style>
  <w:style w:type="paragraph" w:styleId="1734">
    <w:name w:val="zagc-0"/>
    <w:basedOn w:val="1679"/>
    <w:next w:val="1734"/>
    <w:link w:val="1679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735">
    <w:name w:val="Подзаголовок,Обычный таблица"/>
    <w:basedOn w:val="1679"/>
    <w:next w:val="1679"/>
    <w:link w:val="1736"/>
    <w:uiPriority w:val="99"/>
    <w:qFormat/>
    <w:pPr>
      <w:ind w:firstLine="709"/>
      <w:jc w:val="both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736">
    <w:name w:val="Подзаголовок Знак2,Обычный таблица Знак"/>
    <w:next w:val="1736"/>
    <w:link w:val="1735"/>
    <w:uiPriority w:val="99"/>
    <w:rPr>
      <w:sz w:val="28"/>
      <w:szCs w:val="28"/>
    </w:rPr>
  </w:style>
  <w:style w:type="paragraph" w:styleId="1737">
    <w:name w:val="Оглавление 3"/>
    <w:basedOn w:val="1679"/>
    <w:next w:val="1679"/>
    <w:link w:val="1679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738">
    <w:name w:val="Прижатый влево"/>
    <w:basedOn w:val="1679"/>
    <w:next w:val="1679"/>
    <w:link w:val="1679"/>
    <w:uiPriority w:val="99"/>
    <w:rPr>
      <w:sz w:val="24"/>
      <w:szCs w:val="24"/>
    </w:rPr>
  </w:style>
  <w:style w:type="paragraph" w:styleId="1739">
    <w:name w:val="Нормальный (таблица)"/>
    <w:basedOn w:val="1679"/>
    <w:next w:val="1679"/>
    <w:link w:val="1679"/>
    <w:uiPriority w:val="99"/>
    <w:pPr>
      <w:jc w:val="both"/>
    </w:pPr>
    <w:rPr>
      <w:sz w:val="24"/>
      <w:szCs w:val="24"/>
    </w:rPr>
  </w:style>
  <w:style w:type="character" w:styleId="1740">
    <w:name w:val="Цветовое выделение"/>
    <w:next w:val="1740"/>
    <w:link w:val="1679"/>
    <w:uiPriority w:val="99"/>
    <w:rPr>
      <w:b/>
      <w:bCs/>
      <w:color w:val="000080"/>
    </w:rPr>
  </w:style>
  <w:style w:type="paragraph" w:styleId="1741">
    <w:name w:val="Оглавление 1"/>
    <w:basedOn w:val="1679"/>
    <w:next w:val="1679"/>
    <w:link w:val="1679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742">
    <w:name w:val="Без интервала,с интервалом,Без интервала1,No Spacing,No Spacing1"/>
    <w:next w:val="1742"/>
    <w:link w:val="1743"/>
    <w:uiPriority w:val="1"/>
    <w:qFormat/>
    <w:pPr>
      <w:jc w:val="both"/>
    </w:pPr>
    <w:rPr>
      <w:sz w:val="24"/>
      <w:szCs w:val="22"/>
      <w:lang w:val="ru-RU" w:eastAsia="en-US" w:bidi="ar-SA"/>
    </w:rPr>
  </w:style>
  <w:style w:type="character" w:styleId="1743">
    <w:name w:val="Без интервала Знак,с интервалом Знак,Без интервала1 Знак,No Spacing Знак,No Spacing1 Знак"/>
    <w:next w:val="1743"/>
    <w:link w:val="1742"/>
    <w:uiPriority w:val="1"/>
    <w:rPr>
      <w:sz w:val="24"/>
      <w:szCs w:val="22"/>
      <w:lang w:eastAsia="en-US" w:bidi="ar-SA"/>
    </w:rPr>
  </w:style>
  <w:style w:type="paragraph" w:styleId="1744">
    <w:name w:val="Маркированный"/>
    <w:basedOn w:val="1679"/>
    <w:next w:val="1744"/>
    <w:link w:val="1679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745">
    <w:name w:val="ConsPlusNonformat"/>
    <w:next w:val="1745"/>
    <w:link w:val="1679"/>
    <w:uiPriority w:val="99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746">
    <w:name w:val="S_Обычный жирный"/>
    <w:basedOn w:val="1729"/>
    <w:next w:val="1746"/>
    <w:link w:val="2126"/>
    <w:qFormat/>
  </w:style>
  <w:style w:type="paragraph" w:styleId="1747">
    <w:name w:val="Заголовок оглавления"/>
    <w:basedOn w:val="1680"/>
    <w:next w:val="1679"/>
    <w:link w:val="1679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 w:eastAsia="Times New Roman" w:cs="Times New Roman"/>
      <w:color w:val="365f91"/>
      <w:sz w:val="28"/>
      <w:szCs w:val="28"/>
      <w:lang w:eastAsia="en-US"/>
    </w:rPr>
  </w:style>
  <w:style w:type="paragraph" w:styleId="1748">
    <w:name w:val="Оглавление 4"/>
    <w:basedOn w:val="1679"/>
    <w:next w:val="1679"/>
    <w:link w:val="1679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749">
    <w:name w:val="Оглавление 5"/>
    <w:basedOn w:val="1679"/>
    <w:next w:val="1679"/>
    <w:link w:val="1679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750">
    <w:name w:val="Оглавление 6"/>
    <w:basedOn w:val="1679"/>
    <w:next w:val="1679"/>
    <w:link w:val="1679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751">
    <w:name w:val="Оглавление 7"/>
    <w:basedOn w:val="1679"/>
    <w:next w:val="1679"/>
    <w:link w:val="1679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752">
    <w:name w:val="Оглавление 8"/>
    <w:basedOn w:val="1679"/>
    <w:next w:val="1679"/>
    <w:link w:val="1679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753">
    <w:name w:val="Оглавление 9"/>
    <w:basedOn w:val="1679"/>
    <w:next w:val="1679"/>
    <w:link w:val="1679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character" w:styleId="1754">
    <w:name w:val="Заголовок 2 Знак1"/>
    <w:next w:val="1754"/>
    <w:link w:val="1681"/>
    <w:rPr>
      <w:b/>
      <w:sz w:val="28"/>
      <w:szCs w:val="28"/>
    </w:rPr>
  </w:style>
  <w:style w:type="character" w:styleId="1755">
    <w:name w:val="Текст выноски Знак1"/>
    <w:next w:val="1755"/>
    <w:link w:val="1699"/>
    <w:rPr>
      <w:rFonts w:ascii="Tahoma" w:hAnsi="Tahoma" w:cs="Tahoma"/>
      <w:sz w:val="16"/>
      <w:szCs w:val="16"/>
    </w:rPr>
  </w:style>
  <w:style w:type="character" w:styleId="1756">
    <w:name w:val="WW8Num8z0"/>
    <w:next w:val="1756"/>
    <w:link w:val="1679"/>
    <w:uiPriority w:val="99"/>
    <w:rPr>
      <w:rFonts w:ascii="Symbol" w:hAnsi="Symbol"/>
      <w:sz w:val="18"/>
    </w:rPr>
  </w:style>
  <w:style w:type="paragraph" w:styleId="1757">
    <w:name w:val="Знак1"/>
    <w:basedOn w:val="1679"/>
    <w:next w:val="1679"/>
    <w:link w:val="1679"/>
    <w:pPr>
      <w:jc w:val="left"/>
      <w:spacing w:after="160" w:line="240" w:lineRule="exact"/>
      <w:widowControl/>
    </w:pPr>
    <w:rPr>
      <w:lang w:val="en-US" w:eastAsia="en-US"/>
    </w:rPr>
  </w:style>
  <w:style w:type="paragraph" w:styleId="1758">
    <w:name w:val="Название"/>
    <w:basedOn w:val="1679"/>
    <w:next w:val="1758"/>
    <w:link w:val="1759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759">
    <w:name w:val="Название Знак1"/>
    <w:next w:val="1759"/>
    <w:link w:val="1758"/>
    <w:rPr>
      <w:sz w:val="32"/>
    </w:rPr>
  </w:style>
  <w:style w:type="paragraph" w:styleId="1760">
    <w:name w:val="Основной текст с отступом 3"/>
    <w:basedOn w:val="1679"/>
    <w:next w:val="1760"/>
    <w:link w:val="1761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761">
    <w:name w:val="Основной текст с отступом 3 Знак2"/>
    <w:next w:val="1761"/>
    <w:link w:val="1760"/>
    <w:rPr>
      <w:rFonts w:ascii="Arial" w:hAnsi="Arial" w:cs="Arial"/>
      <w:sz w:val="16"/>
      <w:szCs w:val="16"/>
    </w:rPr>
  </w:style>
  <w:style w:type="paragraph" w:styleId="1762">
    <w:name w:val="ConsNonformat"/>
    <w:next w:val="1762"/>
    <w:link w:val="1679"/>
    <w:pPr>
      <w:widowControl w:val="off"/>
    </w:pPr>
    <w:rPr>
      <w:rFonts w:ascii="Courier New" w:hAnsi="Courier New" w:cs="Courier New"/>
      <w:lang w:val="ru-RU" w:eastAsia="ru-RU" w:bidi="ar-SA"/>
    </w:rPr>
  </w:style>
  <w:style w:type="paragraph" w:styleId="1763">
    <w:name w:val="ConsCell"/>
    <w:next w:val="1763"/>
    <w:link w:val="1679"/>
    <w:pPr>
      <w:widowControl w:val="off"/>
    </w:pPr>
    <w:rPr>
      <w:rFonts w:ascii="Arial" w:hAnsi="Arial" w:cs="Arial"/>
      <w:lang w:val="ru-RU" w:eastAsia="ru-RU" w:bidi="ar-SA"/>
    </w:rPr>
  </w:style>
  <w:style w:type="paragraph" w:styleId="1764">
    <w:name w:val="Стиль1"/>
    <w:basedOn w:val="1679"/>
    <w:next w:val="1764"/>
    <w:link w:val="1765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765">
    <w:name w:val="Стиль1 Знак"/>
    <w:next w:val="1765"/>
    <w:link w:val="1764"/>
    <w:rPr>
      <w:sz w:val="26"/>
      <w:szCs w:val="26"/>
    </w:rPr>
  </w:style>
  <w:style w:type="paragraph" w:styleId="1766">
    <w:name w:val="Стиль Times New Roman 14 пт По ширине Первая строка:  1.25 см С..."/>
    <w:basedOn w:val="1679"/>
    <w:next w:val="1766"/>
    <w:link w:val="1679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767">
    <w:name w:val="Default"/>
    <w:next w:val="1767"/>
    <w:link w:val="1679"/>
    <w:rPr>
      <w:color w:val="000000"/>
      <w:sz w:val="24"/>
      <w:szCs w:val="24"/>
      <w:lang w:val="ru-RU" w:eastAsia="ru-RU" w:bidi="ar-SA"/>
    </w:rPr>
  </w:style>
  <w:style w:type="paragraph" w:styleId="1768">
    <w:name w:val="tekstob"/>
    <w:basedOn w:val="1679"/>
    <w:next w:val="1768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69">
    <w:name w:val="u"/>
    <w:basedOn w:val="1679"/>
    <w:next w:val="1769"/>
    <w:link w:val="1679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770">
    <w:name w:val="headertext"/>
    <w:basedOn w:val="1679"/>
    <w:next w:val="1770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71">
    <w:name w:val="unformattext"/>
    <w:basedOn w:val="1679"/>
    <w:next w:val="1771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72">
    <w:name w:val="formattext"/>
    <w:basedOn w:val="1679"/>
    <w:next w:val="1772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73">
    <w:name w:val="Гипертекстовая ссылка"/>
    <w:next w:val="1773"/>
    <w:link w:val="1679"/>
    <w:rPr>
      <w:rFonts w:cs="Times New Roman"/>
      <w:b/>
      <w:bCs/>
      <w:color w:val="008000"/>
    </w:rPr>
  </w:style>
  <w:style w:type="paragraph" w:styleId="1774">
    <w:name w:val="Основной текст 2"/>
    <w:basedOn w:val="1679"/>
    <w:next w:val="1774"/>
    <w:link w:val="1775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775">
    <w:name w:val="Основной текст 2 Знак2"/>
    <w:next w:val="1775"/>
    <w:link w:val="1774"/>
    <w:rPr>
      <w:rFonts w:ascii="Arial" w:hAnsi="Arial" w:cs="Arial"/>
    </w:rPr>
  </w:style>
  <w:style w:type="paragraph" w:styleId="1776">
    <w:name w:val="No Spacing2"/>
    <w:next w:val="1776"/>
    <w:link w:val="1679"/>
    <w:rPr>
      <w:sz w:val="22"/>
      <w:szCs w:val="22"/>
      <w:lang w:val="ru-RU" w:eastAsia="ru-RU" w:bidi="ar-SA"/>
    </w:rPr>
  </w:style>
  <w:style w:type="paragraph" w:styleId="1777">
    <w:name w:val="s_151"/>
    <w:basedOn w:val="1679"/>
    <w:next w:val="1777"/>
    <w:link w:val="1679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78">
    <w:name w:val="ConsPlusNormal Знак"/>
    <w:next w:val="1778"/>
    <w:link w:val="1723"/>
    <w:rPr>
      <w:rFonts w:ascii="Arial" w:hAnsi="Arial" w:cs="Arial"/>
      <w:lang w:val="ru-RU" w:eastAsia="ru-RU" w:bidi="ar-SA"/>
    </w:rPr>
  </w:style>
  <w:style w:type="character" w:styleId="1779">
    <w:name w:val="Продолжение ссылки"/>
    <w:basedOn w:val="1773"/>
    <w:next w:val="1779"/>
    <w:link w:val="1679"/>
    <w:uiPriority w:val="99"/>
  </w:style>
  <w:style w:type="paragraph" w:styleId="1780">
    <w:name w:val="Подчёркнуный текст"/>
    <w:basedOn w:val="1679"/>
    <w:next w:val="1679"/>
    <w:link w:val="1679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781">
    <w:name w:val="ecattext"/>
    <w:basedOn w:val="1689"/>
    <w:next w:val="1781"/>
    <w:link w:val="1679"/>
  </w:style>
  <w:style w:type="character" w:styleId="1782">
    <w:name w:val="Знак примечания"/>
    <w:next w:val="1782"/>
    <w:link w:val="1679"/>
    <w:unhideWhenUsed/>
    <w:rPr>
      <w:sz w:val="16"/>
      <w:szCs w:val="16"/>
    </w:rPr>
  </w:style>
  <w:style w:type="paragraph" w:styleId="1783">
    <w:name w:val="Текст примечания"/>
    <w:basedOn w:val="1679"/>
    <w:next w:val="1783"/>
    <w:link w:val="1784"/>
    <w:unhideWhenUsed/>
    <w:rPr>
      <w:rFonts w:cs="Times New Roman"/>
      <w:lang w:val="en-US" w:eastAsia="en-US"/>
    </w:rPr>
  </w:style>
  <w:style w:type="character" w:styleId="1784">
    <w:name w:val="Текст примечания Знак3"/>
    <w:next w:val="1784"/>
    <w:link w:val="1783"/>
    <w:rPr>
      <w:rFonts w:ascii="Arial" w:hAnsi="Arial" w:cs="Arial"/>
    </w:rPr>
  </w:style>
  <w:style w:type="paragraph" w:styleId="1785">
    <w:name w:val="Тема примечания"/>
    <w:basedOn w:val="1783"/>
    <w:next w:val="1783"/>
    <w:link w:val="1786"/>
    <w:unhideWhenUsed/>
    <w:rPr>
      <w:b/>
      <w:bCs/>
    </w:rPr>
  </w:style>
  <w:style w:type="character" w:styleId="1786">
    <w:name w:val="Тема примечания Знак1"/>
    <w:next w:val="1786"/>
    <w:link w:val="1785"/>
    <w:rPr>
      <w:rFonts w:ascii="Arial" w:hAnsi="Arial" w:cs="Arial"/>
      <w:b/>
      <w:bCs/>
    </w:rPr>
  </w:style>
  <w:style w:type="character" w:styleId="1787">
    <w:name w:val="Заголовок 5 Знак1"/>
    <w:next w:val="1787"/>
    <w:link w:val="1684"/>
    <w:rPr>
      <w:rFonts w:eastAsia="Calibri"/>
      <w:sz w:val="28"/>
      <w:szCs w:val="28"/>
      <w:lang w:eastAsia="en-US"/>
    </w:rPr>
  </w:style>
  <w:style w:type="character" w:styleId="1788">
    <w:name w:val="Заголовок 6 Знак1"/>
    <w:next w:val="1788"/>
    <w:link w:val="1685"/>
    <w:rPr>
      <w:rFonts w:eastAsia="Calibri"/>
      <w:b/>
      <w:bCs/>
      <w:sz w:val="28"/>
      <w:szCs w:val="28"/>
      <w:lang w:eastAsia="en-US"/>
    </w:rPr>
  </w:style>
  <w:style w:type="character" w:styleId="1789">
    <w:name w:val="Заголовок 7 Знак1"/>
    <w:next w:val="1789"/>
    <w:link w:val="1686"/>
    <w:rPr>
      <w:rFonts w:eastAsia="Calibri"/>
      <w:sz w:val="28"/>
      <w:szCs w:val="28"/>
      <w:lang w:eastAsia="en-US"/>
    </w:rPr>
  </w:style>
  <w:style w:type="character" w:styleId="1790">
    <w:name w:val="Заголовок 8 Знак1"/>
    <w:next w:val="1790"/>
    <w:link w:val="1687"/>
    <w:rPr>
      <w:rFonts w:eastAsia="Calibri"/>
      <w:sz w:val="28"/>
      <w:szCs w:val="28"/>
      <w:lang w:eastAsia="en-US"/>
    </w:rPr>
  </w:style>
  <w:style w:type="character" w:styleId="1791">
    <w:name w:val="Заголовок 9 Знак1"/>
    <w:next w:val="1791"/>
    <w:link w:val="1688"/>
    <w:rPr>
      <w:rFonts w:eastAsia="Calibri"/>
      <w:sz w:val="28"/>
      <w:szCs w:val="28"/>
      <w:lang w:eastAsia="en-US"/>
    </w:rPr>
  </w:style>
  <w:style w:type="paragraph" w:styleId="1792">
    <w:name w:val="Название объекта"/>
    <w:basedOn w:val="1679"/>
    <w:next w:val="1679"/>
    <w:link w:val="1679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793">
    <w:name w:val="Знак Знак1"/>
    <w:next w:val="1793"/>
    <w:link w:val="1679"/>
    <w:rPr>
      <w:sz w:val="28"/>
      <w:szCs w:val="28"/>
    </w:rPr>
  </w:style>
  <w:style w:type="paragraph" w:styleId="1794">
    <w:name w:val="Основной текст с отступом 2"/>
    <w:basedOn w:val="1679"/>
    <w:next w:val="1794"/>
    <w:link w:val="1795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795">
    <w:name w:val="Основной текст с отступом 2 Знак2"/>
    <w:next w:val="1795"/>
    <w:link w:val="1794"/>
    <w:rPr>
      <w:rFonts w:eastAsia="Calibri"/>
      <w:sz w:val="28"/>
      <w:szCs w:val="28"/>
      <w:lang w:eastAsia="en-US"/>
    </w:rPr>
  </w:style>
  <w:style w:type="character" w:styleId="1796">
    <w:name w:val="Номер строки"/>
    <w:next w:val="1796"/>
    <w:link w:val="1679"/>
  </w:style>
  <w:style w:type="paragraph" w:styleId="1797">
    <w:name w:val="Схема документа"/>
    <w:basedOn w:val="1679"/>
    <w:next w:val="1797"/>
    <w:link w:val="1799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798">
    <w:name w:val="Схема документа Знак"/>
    <w:next w:val="1798"/>
    <w:link w:val="1679"/>
    <w:rPr>
      <w:rFonts w:ascii="Tahoma" w:hAnsi="Tahoma" w:cs="Tahoma"/>
      <w:sz w:val="16"/>
      <w:szCs w:val="16"/>
    </w:rPr>
  </w:style>
  <w:style w:type="character" w:styleId="1799">
    <w:name w:val="Схема документа Знак3"/>
    <w:next w:val="1799"/>
    <w:link w:val="1797"/>
    <w:rPr>
      <w:rFonts w:ascii="Tahoma" w:hAnsi="Tahoma" w:eastAsia="Calibri" w:cs="Tahoma"/>
      <w:sz w:val="16"/>
      <w:szCs w:val="16"/>
      <w:lang w:eastAsia="en-US"/>
    </w:rPr>
  </w:style>
  <w:style w:type="character" w:styleId="1800">
    <w:name w:val="Подзаголовок Знак1,Обычный таблица Знак1"/>
    <w:next w:val="1800"/>
    <w:link w:val="1679"/>
    <w:uiPriority w:val="99"/>
    <w:rPr>
      <w:sz w:val="28"/>
      <w:szCs w:val="28"/>
      <w:lang w:val="ru-RU" w:eastAsia="ru-RU" w:bidi="ar-SA"/>
    </w:rPr>
  </w:style>
  <w:style w:type="paragraph" w:styleId="1801">
    <w:name w:val="stylet3"/>
    <w:basedOn w:val="1679"/>
    <w:next w:val="1801"/>
    <w:link w:val="1679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802">
    <w:name w:val="Нет списка1"/>
    <w:next w:val="1691"/>
    <w:link w:val="1679"/>
    <w:uiPriority w:val="99"/>
    <w:semiHidden/>
    <w:unhideWhenUsed/>
  </w:style>
  <w:style w:type="numbering" w:styleId="1803">
    <w:name w:val="Нет списка2"/>
    <w:next w:val="1691"/>
    <w:link w:val="1679"/>
    <w:uiPriority w:val="99"/>
    <w:semiHidden/>
    <w:unhideWhenUsed/>
  </w:style>
  <w:style w:type="paragraph" w:styleId="1804">
    <w:name w:val="Обычный1"/>
    <w:next w:val="1804"/>
    <w:link w:val="1679"/>
    <w:rPr>
      <w:lang w:val="ru-RU" w:eastAsia="ru-RU" w:bidi="ar-SA"/>
    </w:rPr>
  </w:style>
  <w:style w:type="paragraph" w:styleId="1805">
    <w:name w:val="Обычный2"/>
    <w:next w:val="1805"/>
    <w:link w:val="1679"/>
    <w:rPr>
      <w:lang w:val="ru-RU" w:eastAsia="ru-RU" w:bidi="ar-SA"/>
    </w:rPr>
  </w:style>
  <w:style w:type="character" w:styleId="1806">
    <w:name w:val="Выделение"/>
    <w:next w:val="1806"/>
    <w:link w:val="1679"/>
    <w:uiPriority w:val="20"/>
    <w:qFormat/>
    <w:rPr>
      <w:i/>
      <w:iCs/>
    </w:rPr>
  </w:style>
  <w:style w:type="paragraph" w:styleId="1807">
    <w:name w:val="Центрированный (таблица)"/>
    <w:basedOn w:val="1739"/>
    <w:next w:val="1679"/>
    <w:link w:val="1679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808">
    <w:name w:val="apple-converted-space"/>
    <w:next w:val="1808"/>
    <w:link w:val="1679"/>
  </w:style>
  <w:style w:type="character" w:styleId="1809">
    <w:name w:val="w"/>
    <w:next w:val="1809"/>
    <w:link w:val="1679"/>
  </w:style>
  <w:style w:type="paragraph" w:styleId="1810">
    <w:name w:val="ConsPlusCell"/>
    <w:next w:val="1810"/>
    <w:link w:val="1679"/>
    <w:uiPriority w:val="99"/>
    <w:rPr>
      <w:rFonts w:ascii="Courier New" w:hAnsi="Courier New" w:cs="Courier New"/>
      <w:lang w:val="ru-RU" w:eastAsia="ru-RU" w:bidi="ar-SA"/>
    </w:rPr>
  </w:style>
  <w:style w:type="character" w:styleId="1811">
    <w:name w:val="Текст_Жирный"/>
    <w:next w:val="1811"/>
    <w:link w:val="1679"/>
    <w:uiPriority w:val="1"/>
    <w:qFormat/>
    <w:rPr>
      <w:rFonts w:ascii="Times New Roman" w:hAnsi="Times New Roman"/>
      <w:b/>
    </w:rPr>
  </w:style>
  <w:style w:type="paragraph" w:styleId="1812">
    <w:name w:val="Таблица_название_таблицы"/>
    <w:next w:val="1679"/>
    <w:link w:val="1813"/>
    <w:qFormat/>
    <w:pPr>
      <w:jc w:val="center"/>
      <w:keepNext/>
      <w:spacing w:before="60" w:after="60"/>
    </w:pPr>
    <w:rPr>
      <w:b/>
      <w:bCs/>
      <w:sz w:val="22"/>
      <w:szCs w:val="22"/>
      <w:lang w:val="ru-RU" w:eastAsia="ru-RU" w:bidi="ar-SA"/>
    </w:rPr>
  </w:style>
  <w:style w:type="character" w:styleId="1813">
    <w:name w:val="Таблица_название_таблицы Знак"/>
    <w:next w:val="1813"/>
    <w:link w:val="1812"/>
    <w:rPr>
      <w:b/>
      <w:bCs/>
      <w:sz w:val="22"/>
      <w:szCs w:val="22"/>
      <w:lang w:bidi="ar-SA"/>
    </w:rPr>
  </w:style>
  <w:style w:type="paragraph" w:styleId="1814">
    <w:name w:val="Табличный_таблица_11"/>
    <w:next w:val="1814"/>
    <w:link w:val="1815"/>
    <w:qFormat/>
    <w:pPr>
      <w:jc w:val="center"/>
    </w:pPr>
    <w:rPr>
      <w:sz w:val="22"/>
      <w:szCs w:val="22"/>
      <w:lang w:val="ru-RU" w:eastAsia="ru-RU" w:bidi="ar-SA"/>
    </w:rPr>
  </w:style>
  <w:style w:type="character" w:styleId="1815">
    <w:name w:val="Табличный_таблица_11 Знак"/>
    <w:next w:val="1815"/>
    <w:link w:val="1814"/>
    <w:rPr>
      <w:sz w:val="22"/>
      <w:szCs w:val="22"/>
      <w:lang w:bidi="ar-SA"/>
    </w:rPr>
  </w:style>
  <w:style w:type="paragraph" w:styleId="1816">
    <w:name w:val="Табличный_боковик_11"/>
    <w:next w:val="1816"/>
    <w:link w:val="1817"/>
    <w:qFormat/>
    <w:rPr>
      <w:sz w:val="22"/>
      <w:szCs w:val="24"/>
      <w:lang w:val="ru-RU" w:eastAsia="ru-RU" w:bidi="ar-SA"/>
    </w:rPr>
  </w:style>
  <w:style w:type="character" w:styleId="1817">
    <w:name w:val="Табличный_боковик_11 Знак"/>
    <w:next w:val="1817"/>
    <w:link w:val="1816"/>
    <w:rPr>
      <w:sz w:val="22"/>
      <w:szCs w:val="24"/>
      <w:lang w:bidi="ar-SA"/>
    </w:rPr>
  </w:style>
  <w:style w:type="paragraph" w:styleId="1818">
    <w:name w:val="Текст сноски"/>
    <w:basedOn w:val="1679"/>
    <w:next w:val="1818"/>
    <w:link w:val="1819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819">
    <w:name w:val="Текст сноски Знак1"/>
    <w:basedOn w:val="1689"/>
    <w:next w:val="1819"/>
    <w:link w:val="1818"/>
    <w:uiPriority w:val="99"/>
  </w:style>
  <w:style w:type="character" w:styleId="1820">
    <w:name w:val="Знак сноски"/>
    <w:next w:val="1820"/>
    <w:link w:val="1679"/>
    <w:rPr>
      <w:vertAlign w:val="superscript"/>
    </w:rPr>
  </w:style>
  <w:style w:type="paragraph" w:styleId="1821">
    <w:name w:val=" Знак2 Знак Знак1 Знак1 Знак Знак Знак Знак Знак Знак Знак Знак Знак Знак Знак Знак"/>
    <w:basedOn w:val="1679"/>
    <w:next w:val="1821"/>
    <w:link w:val="1679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822">
    <w:name w:val="Текст,Знак11, Знак11"/>
    <w:basedOn w:val="1679"/>
    <w:next w:val="1822"/>
    <w:link w:val="1823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823">
    <w:name w:val="Текст Знак2,Знак11 Знак1, Знак11 Знак"/>
    <w:next w:val="1823"/>
    <w:link w:val="1822"/>
    <w:uiPriority w:val="99"/>
    <w:rPr>
      <w:rFonts w:ascii="Courier New" w:hAnsi="Courier New"/>
      <w:lang w:val="en-US" w:eastAsia="en-US"/>
    </w:rPr>
  </w:style>
  <w:style w:type="character" w:styleId="1824">
    <w:name w:val="Абзац списка Знак"/>
    <w:next w:val="1824"/>
    <w:link w:val="1733"/>
    <w:uiPriority w:val="34"/>
    <w:rPr>
      <w:sz w:val="22"/>
      <w:szCs w:val="22"/>
      <w:lang w:eastAsia="en-US"/>
    </w:rPr>
  </w:style>
  <w:style w:type="numbering" w:styleId="1825">
    <w:name w:val="List 0"/>
    <w:basedOn w:val="1691"/>
    <w:next w:val="1825"/>
    <w:link w:val="1679"/>
    <w:semiHidden/>
    <w:pPr>
      <w:numPr>
        <w:ilvl w:val="0"/>
        <w:numId w:val="1"/>
      </w:numPr>
    </w:pPr>
  </w:style>
  <w:style w:type="paragraph" w:styleId="1826">
    <w:name w:val="List Paragraph"/>
    <w:basedOn w:val="1679"/>
    <w:next w:val="1826"/>
    <w:link w:val="1679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character" w:styleId="1827">
    <w:name w:val="Просмотренная гиперссылка"/>
    <w:next w:val="1827"/>
    <w:link w:val="1679"/>
    <w:uiPriority w:val="99"/>
    <w:unhideWhenUsed/>
    <w:rPr>
      <w:color w:val="800080"/>
      <w:u w:val="single"/>
    </w:rPr>
  </w:style>
  <w:style w:type="paragraph" w:styleId="1828">
    <w:name w:val="xl63"/>
    <w:basedOn w:val="1679"/>
    <w:next w:val="1828"/>
    <w:link w:val="1679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829">
    <w:name w:val="xl64"/>
    <w:basedOn w:val="1679"/>
    <w:next w:val="1829"/>
    <w:link w:val="1679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0">
    <w:name w:val="xl65"/>
    <w:basedOn w:val="1679"/>
    <w:next w:val="1830"/>
    <w:link w:val="1679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831">
    <w:name w:val="xl66"/>
    <w:basedOn w:val="1679"/>
    <w:next w:val="1831"/>
    <w:link w:val="1679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2">
    <w:name w:val="xl67"/>
    <w:basedOn w:val="1679"/>
    <w:next w:val="1832"/>
    <w:link w:val="1679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3">
    <w:name w:val="xl68"/>
    <w:basedOn w:val="1679"/>
    <w:next w:val="1833"/>
    <w:link w:val="1679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4">
    <w:name w:val="xl69"/>
    <w:basedOn w:val="1679"/>
    <w:next w:val="1834"/>
    <w:link w:val="1679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5">
    <w:name w:val="xl70"/>
    <w:basedOn w:val="1679"/>
    <w:next w:val="1835"/>
    <w:link w:val="1679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6">
    <w:name w:val="xl71"/>
    <w:basedOn w:val="1679"/>
    <w:next w:val="1836"/>
    <w:link w:val="1679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7">
    <w:name w:val="xl72"/>
    <w:basedOn w:val="1679"/>
    <w:next w:val="1837"/>
    <w:link w:val="1679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8">
    <w:name w:val="xl73"/>
    <w:basedOn w:val="1679"/>
    <w:next w:val="1838"/>
    <w:link w:val="1679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9">
    <w:name w:val="xl74"/>
    <w:basedOn w:val="1679"/>
    <w:next w:val="1839"/>
    <w:link w:val="1679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0">
    <w:name w:val="xl75"/>
    <w:basedOn w:val="1679"/>
    <w:next w:val="1840"/>
    <w:link w:val="1679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1">
    <w:name w:val="xl76"/>
    <w:basedOn w:val="1679"/>
    <w:next w:val="1841"/>
    <w:link w:val="1679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2">
    <w:name w:val="xl77"/>
    <w:basedOn w:val="1679"/>
    <w:next w:val="1842"/>
    <w:link w:val="1679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3">
    <w:name w:val="xl78"/>
    <w:basedOn w:val="1679"/>
    <w:next w:val="1843"/>
    <w:link w:val="1679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4">
    <w:name w:val="xl79"/>
    <w:basedOn w:val="1679"/>
    <w:next w:val="1844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5">
    <w:name w:val="xl80"/>
    <w:basedOn w:val="1679"/>
    <w:next w:val="1845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6">
    <w:name w:val="xl81"/>
    <w:basedOn w:val="1679"/>
    <w:next w:val="1846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7">
    <w:name w:val="xl82"/>
    <w:basedOn w:val="1679"/>
    <w:next w:val="1847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8">
    <w:name w:val="xl83"/>
    <w:basedOn w:val="1679"/>
    <w:next w:val="1848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49">
    <w:name w:val="xl84"/>
    <w:basedOn w:val="1679"/>
    <w:next w:val="1849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0">
    <w:name w:val="xl85"/>
    <w:basedOn w:val="1679"/>
    <w:next w:val="1850"/>
    <w:link w:val="1679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1">
    <w:name w:val="xl86"/>
    <w:basedOn w:val="1679"/>
    <w:next w:val="1851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52">
    <w:name w:val="xl87"/>
    <w:basedOn w:val="1679"/>
    <w:next w:val="1852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53">
    <w:name w:val="xl88"/>
    <w:basedOn w:val="1679"/>
    <w:next w:val="1853"/>
    <w:link w:val="1679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4">
    <w:name w:val="xl89"/>
    <w:basedOn w:val="1679"/>
    <w:next w:val="1854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5">
    <w:name w:val="xl90"/>
    <w:basedOn w:val="1679"/>
    <w:next w:val="1855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6">
    <w:name w:val="xl91"/>
    <w:basedOn w:val="1679"/>
    <w:next w:val="1856"/>
    <w:link w:val="1679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7">
    <w:name w:val="xl92"/>
    <w:basedOn w:val="1679"/>
    <w:next w:val="1857"/>
    <w:link w:val="1679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8">
    <w:name w:val="xl93"/>
    <w:basedOn w:val="1679"/>
    <w:next w:val="1858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9">
    <w:name w:val="xl94"/>
    <w:basedOn w:val="1679"/>
    <w:next w:val="1859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0">
    <w:name w:val="xl95"/>
    <w:basedOn w:val="1679"/>
    <w:next w:val="1860"/>
    <w:link w:val="1679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861">
    <w:name w:val="xl96"/>
    <w:basedOn w:val="1679"/>
    <w:next w:val="1861"/>
    <w:link w:val="1679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2">
    <w:name w:val="xl97"/>
    <w:basedOn w:val="1679"/>
    <w:next w:val="1862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3">
    <w:name w:val="xl98"/>
    <w:basedOn w:val="1679"/>
    <w:next w:val="1863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4">
    <w:name w:val="xl99"/>
    <w:basedOn w:val="1679"/>
    <w:next w:val="1864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5">
    <w:name w:val="xl100"/>
    <w:basedOn w:val="1679"/>
    <w:next w:val="1865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6">
    <w:name w:val="xl101"/>
    <w:basedOn w:val="1679"/>
    <w:next w:val="1866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7">
    <w:name w:val="xl102"/>
    <w:basedOn w:val="1679"/>
    <w:next w:val="1867"/>
    <w:link w:val="1679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8">
    <w:name w:val="xl103"/>
    <w:basedOn w:val="1679"/>
    <w:next w:val="1868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9">
    <w:name w:val="xl104"/>
    <w:basedOn w:val="1679"/>
    <w:next w:val="1869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0">
    <w:name w:val="xl105"/>
    <w:basedOn w:val="1679"/>
    <w:next w:val="1870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1">
    <w:name w:val="xl106"/>
    <w:basedOn w:val="1679"/>
    <w:next w:val="1871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2">
    <w:name w:val="xl107"/>
    <w:basedOn w:val="1679"/>
    <w:next w:val="1872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3">
    <w:name w:val="xl108"/>
    <w:basedOn w:val="1679"/>
    <w:next w:val="1873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4">
    <w:name w:val="xl109"/>
    <w:basedOn w:val="1679"/>
    <w:next w:val="1874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5">
    <w:name w:val="xl110"/>
    <w:basedOn w:val="1679"/>
    <w:next w:val="1875"/>
    <w:link w:val="1679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76">
    <w:name w:val="xl111"/>
    <w:basedOn w:val="1679"/>
    <w:next w:val="1876"/>
    <w:link w:val="1679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7">
    <w:name w:val="xl112"/>
    <w:basedOn w:val="1679"/>
    <w:next w:val="1877"/>
    <w:link w:val="1679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8">
    <w:name w:val="xl113"/>
    <w:basedOn w:val="1679"/>
    <w:next w:val="1878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9">
    <w:name w:val="xl114"/>
    <w:basedOn w:val="1679"/>
    <w:next w:val="1879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0">
    <w:name w:val="xl115"/>
    <w:basedOn w:val="1679"/>
    <w:next w:val="1880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1">
    <w:name w:val="xl116"/>
    <w:basedOn w:val="1679"/>
    <w:next w:val="1881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2">
    <w:name w:val="xl117"/>
    <w:basedOn w:val="1679"/>
    <w:next w:val="1882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3">
    <w:name w:val="xl118"/>
    <w:basedOn w:val="1679"/>
    <w:next w:val="1883"/>
    <w:link w:val="1679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4">
    <w:name w:val="xl119"/>
    <w:basedOn w:val="1679"/>
    <w:next w:val="1884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5">
    <w:name w:val="xl120"/>
    <w:basedOn w:val="1679"/>
    <w:next w:val="1885"/>
    <w:link w:val="1679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6">
    <w:name w:val="xl121"/>
    <w:basedOn w:val="1679"/>
    <w:next w:val="1886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7">
    <w:name w:val="xl122"/>
    <w:basedOn w:val="1679"/>
    <w:next w:val="1887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8">
    <w:name w:val="xl123"/>
    <w:basedOn w:val="1679"/>
    <w:next w:val="1888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89">
    <w:name w:val="xl124"/>
    <w:basedOn w:val="1679"/>
    <w:next w:val="1889"/>
    <w:link w:val="1679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0">
    <w:name w:val="xl125"/>
    <w:basedOn w:val="1679"/>
    <w:next w:val="1890"/>
    <w:link w:val="1679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1">
    <w:name w:val="xl126"/>
    <w:basedOn w:val="1679"/>
    <w:next w:val="1891"/>
    <w:link w:val="1679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2">
    <w:name w:val="xl127"/>
    <w:basedOn w:val="1679"/>
    <w:next w:val="1892"/>
    <w:link w:val="1679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893">
    <w:name w:val="xl128"/>
    <w:basedOn w:val="1679"/>
    <w:next w:val="1893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4">
    <w:name w:val="xl129"/>
    <w:basedOn w:val="1679"/>
    <w:next w:val="1894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5">
    <w:name w:val="xl130"/>
    <w:basedOn w:val="1679"/>
    <w:next w:val="1895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6">
    <w:name w:val="xl131"/>
    <w:basedOn w:val="1679"/>
    <w:next w:val="1896"/>
    <w:link w:val="1679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7">
    <w:name w:val="xl132"/>
    <w:basedOn w:val="1679"/>
    <w:next w:val="1897"/>
    <w:link w:val="1679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98">
    <w:name w:val="xl133"/>
    <w:basedOn w:val="1679"/>
    <w:next w:val="1898"/>
    <w:link w:val="1679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99">
    <w:name w:val="xl134"/>
    <w:basedOn w:val="1679"/>
    <w:next w:val="1899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00">
    <w:name w:val="xl135"/>
    <w:basedOn w:val="1679"/>
    <w:next w:val="1900"/>
    <w:link w:val="1679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901">
    <w:name w:val="xl136"/>
    <w:basedOn w:val="1679"/>
    <w:next w:val="1901"/>
    <w:link w:val="1679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902">
    <w:name w:val="WW8Num1z0"/>
    <w:next w:val="1902"/>
    <w:link w:val="1679"/>
  </w:style>
  <w:style w:type="character" w:styleId="1903">
    <w:name w:val="WW8Num1z1"/>
    <w:next w:val="1903"/>
    <w:link w:val="1679"/>
  </w:style>
  <w:style w:type="character" w:styleId="1904">
    <w:name w:val="WW8Num1z2"/>
    <w:next w:val="1904"/>
    <w:link w:val="1679"/>
  </w:style>
  <w:style w:type="character" w:styleId="1905">
    <w:name w:val="WW8Num1z3"/>
    <w:next w:val="1905"/>
    <w:link w:val="1679"/>
  </w:style>
  <w:style w:type="character" w:styleId="1906">
    <w:name w:val="WW8Num1z4"/>
    <w:next w:val="1906"/>
    <w:link w:val="1679"/>
  </w:style>
  <w:style w:type="character" w:styleId="1907">
    <w:name w:val="WW8Num1z5"/>
    <w:next w:val="1907"/>
    <w:link w:val="1679"/>
  </w:style>
  <w:style w:type="character" w:styleId="1908">
    <w:name w:val="WW8Num1z6"/>
    <w:next w:val="1908"/>
    <w:link w:val="1679"/>
  </w:style>
  <w:style w:type="character" w:styleId="1909">
    <w:name w:val="WW8Num1z7"/>
    <w:next w:val="1909"/>
    <w:link w:val="1679"/>
  </w:style>
  <w:style w:type="character" w:styleId="1910">
    <w:name w:val="WW8Num1z8"/>
    <w:next w:val="1910"/>
    <w:link w:val="1679"/>
  </w:style>
  <w:style w:type="character" w:styleId="1911">
    <w:name w:val="WW8Num2z0"/>
    <w:next w:val="1911"/>
    <w:link w:val="1679"/>
    <w:rPr>
      <w:rFonts w:ascii="Symbol" w:hAnsi="Symbol"/>
    </w:rPr>
  </w:style>
  <w:style w:type="character" w:styleId="1912">
    <w:name w:val="WW8Num3z0"/>
    <w:next w:val="1912"/>
    <w:link w:val="1679"/>
    <w:rPr>
      <w:rFonts w:ascii="Symbol" w:hAnsi="Symbol"/>
      <w:sz w:val="24"/>
      <w:lang w:val="en-US" w:eastAsia="en-US"/>
    </w:rPr>
  </w:style>
  <w:style w:type="character" w:styleId="1913">
    <w:name w:val="WW8Num4z0"/>
    <w:next w:val="1913"/>
    <w:link w:val="1679"/>
    <w:rPr>
      <w:rFonts w:eastAsia="Times New Roman"/>
      <w:sz w:val="24"/>
      <w:lang w:val="en-US" w:eastAsia="en-US"/>
    </w:rPr>
  </w:style>
  <w:style w:type="character" w:styleId="1914">
    <w:name w:val="WW8Num5z0"/>
    <w:next w:val="1914"/>
    <w:link w:val="1679"/>
    <w:rPr>
      <w:rFonts w:eastAsia="Times New Roman"/>
      <w:sz w:val="24"/>
      <w:lang w:val="en-US" w:eastAsia="en-US"/>
    </w:rPr>
  </w:style>
  <w:style w:type="character" w:styleId="1915">
    <w:name w:val="WW8Num5z1"/>
    <w:next w:val="1915"/>
    <w:link w:val="1679"/>
  </w:style>
  <w:style w:type="character" w:styleId="1916">
    <w:name w:val="WW8Num5z2"/>
    <w:next w:val="1916"/>
    <w:link w:val="1679"/>
  </w:style>
  <w:style w:type="character" w:styleId="1917">
    <w:name w:val="WW8Num5z3"/>
    <w:next w:val="1917"/>
    <w:link w:val="1679"/>
  </w:style>
  <w:style w:type="character" w:styleId="1918">
    <w:name w:val="WW8Num5z4"/>
    <w:next w:val="1918"/>
    <w:link w:val="1679"/>
  </w:style>
  <w:style w:type="character" w:styleId="1919">
    <w:name w:val="WW8Num5z5"/>
    <w:next w:val="1919"/>
    <w:link w:val="1679"/>
  </w:style>
  <w:style w:type="character" w:styleId="1920">
    <w:name w:val="WW8Num5z6"/>
    <w:next w:val="1920"/>
    <w:link w:val="1679"/>
  </w:style>
  <w:style w:type="character" w:styleId="1921">
    <w:name w:val="WW8Num5z7"/>
    <w:next w:val="1921"/>
    <w:link w:val="1679"/>
  </w:style>
  <w:style w:type="character" w:styleId="1922">
    <w:name w:val="WW8Num5z8"/>
    <w:next w:val="1922"/>
    <w:link w:val="1679"/>
  </w:style>
  <w:style w:type="character" w:styleId="1923">
    <w:name w:val="WW8Num6z0"/>
    <w:next w:val="1923"/>
    <w:link w:val="1679"/>
    <w:rPr>
      <w:rFonts w:ascii="Times New Roman" w:hAnsi="Times New Roman"/>
      <w:sz w:val="28"/>
    </w:rPr>
  </w:style>
  <w:style w:type="character" w:styleId="1924">
    <w:name w:val="WW8Num6z1"/>
    <w:next w:val="1924"/>
    <w:link w:val="1679"/>
    <w:rPr>
      <w:sz w:val="24"/>
    </w:rPr>
  </w:style>
  <w:style w:type="character" w:styleId="1925">
    <w:name w:val="WW8Num6z2"/>
    <w:next w:val="1925"/>
    <w:link w:val="1679"/>
  </w:style>
  <w:style w:type="character" w:styleId="1926">
    <w:name w:val="WW8Num6z3"/>
    <w:next w:val="1926"/>
    <w:link w:val="1679"/>
  </w:style>
  <w:style w:type="character" w:styleId="1927">
    <w:name w:val="WW8Num6z4"/>
    <w:next w:val="1927"/>
    <w:link w:val="1679"/>
  </w:style>
  <w:style w:type="character" w:styleId="1928">
    <w:name w:val="WW8Num6z5"/>
    <w:next w:val="1928"/>
    <w:link w:val="1679"/>
  </w:style>
  <w:style w:type="character" w:styleId="1929">
    <w:name w:val="WW8Num6z6"/>
    <w:next w:val="1929"/>
    <w:link w:val="1679"/>
  </w:style>
  <w:style w:type="character" w:styleId="1930">
    <w:name w:val="WW8Num6z7"/>
    <w:next w:val="1930"/>
    <w:link w:val="1679"/>
  </w:style>
  <w:style w:type="character" w:styleId="1931">
    <w:name w:val="WW8Num6z8"/>
    <w:next w:val="1931"/>
    <w:link w:val="1679"/>
  </w:style>
  <w:style w:type="character" w:styleId="1932">
    <w:name w:val="WW8Num7z0"/>
    <w:next w:val="1932"/>
    <w:link w:val="1679"/>
  </w:style>
  <w:style w:type="character" w:styleId="1933">
    <w:name w:val="WW8Num7z1"/>
    <w:next w:val="1933"/>
    <w:link w:val="1679"/>
  </w:style>
  <w:style w:type="character" w:styleId="1934">
    <w:name w:val="WW8Num7z2"/>
    <w:next w:val="1934"/>
    <w:link w:val="1679"/>
  </w:style>
  <w:style w:type="character" w:styleId="1935">
    <w:name w:val="WW8Num7z3"/>
    <w:next w:val="1935"/>
    <w:link w:val="1679"/>
  </w:style>
  <w:style w:type="character" w:styleId="1936">
    <w:name w:val="WW8Num7z4"/>
    <w:next w:val="1936"/>
    <w:link w:val="1679"/>
  </w:style>
  <w:style w:type="character" w:styleId="1937">
    <w:name w:val="WW8Num7z5"/>
    <w:next w:val="1937"/>
    <w:link w:val="1679"/>
  </w:style>
  <w:style w:type="character" w:styleId="1938">
    <w:name w:val="WW8Num7z6"/>
    <w:next w:val="1938"/>
    <w:link w:val="1679"/>
  </w:style>
  <w:style w:type="character" w:styleId="1939">
    <w:name w:val="WW8Num7z7"/>
    <w:next w:val="1939"/>
    <w:link w:val="1679"/>
  </w:style>
  <w:style w:type="character" w:styleId="1940">
    <w:name w:val="WW8Num7z8"/>
    <w:next w:val="1940"/>
    <w:link w:val="1679"/>
  </w:style>
  <w:style w:type="character" w:styleId="1941">
    <w:name w:val="WW8Num8z1"/>
    <w:next w:val="1941"/>
    <w:link w:val="1679"/>
  </w:style>
  <w:style w:type="character" w:styleId="1942">
    <w:name w:val="WW8Num8z2"/>
    <w:next w:val="1942"/>
    <w:link w:val="1679"/>
    <w:rPr>
      <w:rFonts w:ascii="Wingdings" w:hAnsi="Wingdings"/>
    </w:rPr>
  </w:style>
  <w:style w:type="character" w:styleId="1943">
    <w:name w:val="WW8Num8z3"/>
    <w:next w:val="1943"/>
    <w:link w:val="1679"/>
    <w:rPr>
      <w:rFonts w:ascii="Symbol" w:hAnsi="Symbol"/>
    </w:rPr>
  </w:style>
  <w:style w:type="character" w:styleId="1944">
    <w:name w:val="WW8Num8z4"/>
    <w:next w:val="1944"/>
    <w:link w:val="1679"/>
  </w:style>
  <w:style w:type="character" w:styleId="1945">
    <w:name w:val="WW8Num8z5"/>
    <w:next w:val="1945"/>
    <w:link w:val="1679"/>
  </w:style>
  <w:style w:type="character" w:styleId="1946">
    <w:name w:val="WW8Num8z6"/>
    <w:next w:val="1946"/>
    <w:link w:val="1679"/>
  </w:style>
  <w:style w:type="character" w:styleId="1947">
    <w:name w:val="WW8Num8z7"/>
    <w:next w:val="1947"/>
    <w:link w:val="1679"/>
  </w:style>
  <w:style w:type="character" w:styleId="1948">
    <w:name w:val="WW8Num8z8"/>
    <w:next w:val="1948"/>
    <w:link w:val="1679"/>
  </w:style>
  <w:style w:type="character" w:styleId="1949">
    <w:name w:val="WW8Num9z0"/>
    <w:next w:val="1949"/>
    <w:link w:val="1679"/>
    <w:rPr>
      <w:rFonts w:ascii="Times New Roman" w:hAnsi="Times New Roman"/>
      <w:sz w:val="24"/>
    </w:rPr>
  </w:style>
  <w:style w:type="character" w:styleId="1950">
    <w:name w:val="WW8Num10z0"/>
    <w:next w:val="1950"/>
    <w:link w:val="1679"/>
  </w:style>
  <w:style w:type="character" w:styleId="1951">
    <w:name w:val="WW8Num10z1"/>
    <w:next w:val="1951"/>
    <w:link w:val="1679"/>
  </w:style>
  <w:style w:type="character" w:styleId="1952">
    <w:name w:val="WW8Num10z2"/>
    <w:next w:val="1952"/>
    <w:link w:val="1679"/>
  </w:style>
  <w:style w:type="character" w:styleId="1953">
    <w:name w:val="WW8Num10z3"/>
    <w:next w:val="1953"/>
    <w:link w:val="1679"/>
  </w:style>
  <w:style w:type="character" w:styleId="1954">
    <w:name w:val="WW8Num10z4"/>
    <w:next w:val="1954"/>
    <w:link w:val="1679"/>
  </w:style>
  <w:style w:type="character" w:styleId="1955">
    <w:name w:val="WW8Num10z5"/>
    <w:next w:val="1955"/>
    <w:link w:val="1679"/>
  </w:style>
  <w:style w:type="character" w:styleId="1956">
    <w:name w:val="WW8Num10z6"/>
    <w:next w:val="1956"/>
    <w:link w:val="1679"/>
  </w:style>
  <w:style w:type="character" w:styleId="1957">
    <w:name w:val="WW8Num10z7"/>
    <w:next w:val="1957"/>
    <w:link w:val="1679"/>
  </w:style>
  <w:style w:type="character" w:styleId="1958">
    <w:name w:val="WW8Num10z8"/>
    <w:next w:val="1958"/>
    <w:link w:val="1679"/>
  </w:style>
  <w:style w:type="character" w:styleId="1959">
    <w:name w:val="WW8Num11z0"/>
    <w:next w:val="1959"/>
    <w:link w:val="1679"/>
  </w:style>
  <w:style w:type="character" w:styleId="1960">
    <w:name w:val="WW8Num11z1"/>
    <w:next w:val="1960"/>
    <w:link w:val="1679"/>
  </w:style>
  <w:style w:type="character" w:styleId="1961">
    <w:name w:val="WW8Num11z2"/>
    <w:next w:val="1961"/>
    <w:link w:val="1679"/>
  </w:style>
  <w:style w:type="character" w:styleId="1962">
    <w:name w:val="WW8Num11z3"/>
    <w:next w:val="1962"/>
    <w:link w:val="1679"/>
  </w:style>
  <w:style w:type="character" w:styleId="1963">
    <w:name w:val="WW8Num11z4"/>
    <w:next w:val="1963"/>
    <w:link w:val="1679"/>
  </w:style>
  <w:style w:type="character" w:styleId="1964">
    <w:name w:val="WW8Num11z5"/>
    <w:next w:val="1964"/>
    <w:link w:val="1679"/>
  </w:style>
  <w:style w:type="character" w:styleId="1965">
    <w:name w:val="WW8Num11z6"/>
    <w:next w:val="1965"/>
    <w:link w:val="1679"/>
  </w:style>
  <w:style w:type="character" w:styleId="1966">
    <w:name w:val="WW8Num11z7"/>
    <w:next w:val="1966"/>
    <w:link w:val="1679"/>
  </w:style>
  <w:style w:type="character" w:styleId="1967">
    <w:name w:val="WW8Num11z8"/>
    <w:next w:val="1967"/>
    <w:link w:val="1679"/>
  </w:style>
  <w:style w:type="character" w:styleId="1968">
    <w:name w:val="WW8Num12z0"/>
    <w:next w:val="1968"/>
    <w:link w:val="1679"/>
    <w:rPr>
      <w:rFonts w:ascii="Symbol" w:hAnsi="Symbol"/>
    </w:rPr>
  </w:style>
  <w:style w:type="character" w:styleId="1969">
    <w:name w:val="WW8Num12z1"/>
    <w:next w:val="1969"/>
    <w:link w:val="1679"/>
    <w:rPr>
      <w:rFonts w:ascii="Courier New" w:hAnsi="Courier New"/>
    </w:rPr>
  </w:style>
  <w:style w:type="character" w:styleId="1970">
    <w:name w:val="WW8Num12z2"/>
    <w:next w:val="1970"/>
    <w:link w:val="1679"/>
    <w:rPr>
      <w:rFonts w:ascii="Wingdings" w:hAnsi="Wingdings"/>
    </w:rPr>
  </w:style>
  <w:style w:type="character" w:styleId="1971">
    <w:name w:val="WW8Num12z3"/>
    <w:next w:val="1971"/>
    <w:link w:val="1679"/>
    <w:rPr>
      <w:rFonts w:ascii="Symbol" w:hAnsi="Symbol"/>
    </w:rPr>
  </w:style>
  <w:style w:type="character" w:styleId="1972">
    <w:name w:val="WW8Num13z0"/>
    <w:next w:val="1972"/>
    <w:link w:val="1679"/>
    <w:rPr>
      <w:rFonts w:ascii="Times New Roman" w:hAnsi="Times New Roman"/>
      <w:sz w:val="24"/>
    </w:rPr>
  </w:style>
  <w:style w:type="character" w:styleId="1973">
    <w:name w:val="WW8Num13z2"/>
    <w:next w:val="1973"/>
    <w:link w:val="1679"/>
    <w:rPr>
      <w:rFonts w:ascii="Times New Roman" w:hAnsi="Times New Roman"/>
      <w:sz w:val="28"/>
    </w:rPr>
  </w:style>
  <w:style w:type="character" w:styleId="1974">
    <w:name w:val="WW8Num13z3"/>
    <w:next w:val="1974"/>
    <w:link w:val="1679"/>
  </w:style>
  <w:style w:type="character" w:styleId="1975">
    <w:name w:val="WW8Num14z0"/>
    <w:next w:val="1975"/>
    <w:link w:val="1679"/>
    <w:rPr>
      <w:sz w:val="22"/>
    </w:rPr>
  </w:style>
  <w:style w:type="character" w:styleId="1976">
    <w:name w:val="WW8Num14z1"/>
    <w:next w:val="1976"/>
    <w:link w:val="1679"/>
  </w:style>
  <w:style w:type="character" w:styleId="1977">
    <w:name w:val="WW8Num14z2"/>
    <w:next w:val="1977"/>
    <w:link w:val="1679"/>
  </w:style>
  <w:style w:type="character" w:styleId="1978">
    <w:name w:val="WW8Num14z3"/>
    <w:next w:val="1978"/>
    <w:link w:val="1679"/>
  </w:style>
  <w:style w:type="character" w:styleId="1979">
    <w:name w:val="WW8Num14z4"/>
    <w:next w:val="1979"/>
    <w:link w:val="1679"/>
  </w:style>
  <w:style w:type="character" w:styleId="1980">
    <w:name w:val="WW8Num14z5"/>
    <w:next w:val="1980"/>
    <w:link w:val="1679"/>
  </w:style>
  <w:style w:type="character" w:styleId="1981">
    <w:name w:val="WW8Num14z6"/>
    <w:next w:val="1981"/>
    <w:link w:val="1679"/>
  </w:style>
  <w:style w:type="character" w:styleId="1982">
    <w:name w:val="WW8Num14z7"/>
    <w:next w:val="1982"/>
    <w:link w:val="1679"/>
  </w:style>
  <w:style w:type="character" w:styleId="1983">
    <w:name w:val="WW8Num14z8"/>
    <w:next w:val="1983"/>
    <w:link w:val="1679"/>
  </w:style>
  <w:style w:type="character" w:styleId="1984">
    <w:name w:val="WW8Num15z0"/>
    <w:next w:val="1984"/>
    <w:link w:val="1679"/>
    <w:rPr>
      <w:b/>
      <w:sz w:val="24"/>
    </w:rPr>
  </w:style>
  <w:style w:type="character" w:styleId="1985">
    <w:name w:val="WW8Num16z0"/>
    <w:next w:val="1985"/>
    <w:link w:val="1679"/>
    <w:rPr>
      <w:rFonts w:ascii="Times New Roman" w:hAnsi="Times New Roman"/>
      <w:sz w:val="24"/>
    </w:rPr>
  </w:style>
  <w:style w:type="character" w:styleId="1986">
    <w:name w:val="WW8Num16z1"/>
    <w:next w:val="1986"/>
    <w:link w:val="1679"/>
    <w:rPr>
      <w:sz w:val="24"/>
    </w:rPr>
  </w:style>
  <w:style w:type="character" w:styleId="1987">
    <w:name w:val="WW8Num16z3"/>
    <w:next w:val="1987"/>
    <w:link w:val="1679"/>
  </w:style>
  <w:style w:type="character" w:styleId="1988">
    <w:name w:val="WW8Num16z4"/>
    <w:next w:val="1988"/>
    <w:link w:val="1679"/>
  </w:style>
  <w:style w:type="character" w:styleId="1989">
    <w:name w:val="WW8Num16z5"/>
    <w:next w:val="1989"/>
    <w:link w:val="1679"/>
  </w:style>
  <w:style w:type="character" w:styleId="1990">
    <w:name w:val="WW8Num16z6"/>
    <w:next w:val="1990"/>
    <w:link w:val="1679"/>
  </w:style>
  <w:style w:type="character" w:styleId="1991">
    <w:name w:val="WW8Num16z7"/>
    <w:next w:val="1991"/>
    <w:link w:val="1679"/>
  </w:style>
  <w:style w:type="character" w:styleId="1992">
    <w:name w:val="WW8Num16z8"/>
    <w:next w:val="1992"/>
    <w:link w:val="1679"/>
  </w:style>
  <w:style w:type="character" w:styleId="1993">
    <w:name w:val="WW8Num17z0"/>
    <w:next w:val="1993"/>
    <w:link w:val="1679"/>
  </w:style>
  <w:style w:type="character" w:styleId="1994">
    <w:name w:val="WW8Num18z0"/>
    <w:next w:val="1994"/>
    <w:link w:val="1679"/>
  </w:style>
  <w:style w:type="character" w:styleId="1995">
    <w:name w:val="WW8Num18z1"/>
    <w:next w:val="1995"/>
    <w:link w:val="1679"/>
  </w:style>
  <w:style w:type="character" w:styleId="1996">
    <w:name w:val="WW8Num18z2"/>
    <w:next w:val="1996"/>
    <w:link w:val="1679"/>
  </w:style>
  <w:style w:type="character" w:styleId="1997">
    <w:name w:val="WW8Num18z3"/>
    <w:next w:val="1997"/>
    <w:link w:val="1679"/>
  </w:style>
  <w:style w:type="character" w:styleId="1998">
    <w:name w:val="WW8Num18z4"/>
    <w:next w:val="1998"/>
    <w:link w:val="1679"/>
  </w:style>
  <w:style w:type="character" w:styleId="1999">
    <w:name w:val="WW8Num18z5"/>
    <w:next w:val="1999"/>
    <w:link w:val="1679"/>
  </w:style>
  <w:style w:type="character" w:styleId="2000">
    <w:name w:val="WW8Num18z6"/>
    <w:next w:val="2000"/>
    <w:link w:val="1679"/>
  </w:style>
  <w:style w:type="character" w:styleId="2001">
    <w:name w:val="WW8Num18z7"/>
    <w:next w:val="2001"/>
    <w:link w:val="1679"/>
  </w:style>
  <w:style w:type="character" w:styleId="2002">
    <w:name w:val="WW8Num18z8"/>
    <w:next w:val="2002"/>
    <w:link w:val="1679"/>
  </w:style>
  <w:style w:type="character" w:styleId="2003">
    <w:name w:val="WW8Num19z0"/>
    <w:next w:val="2003"/>
    <w:link w:val="1679"/>
  </w:style>
  <w:style w:type="character" w:styleId="2004">
    <w:name w:val="WW8Num19z1"/>
    <w:next w:val="2004"/>
    <w:link w:val="1679"/>
  </w:style>
  <w:style w:type="character" w:styleId="2005">
    <w:name w:val="WW8Num19z2"/>
    <w:next w:val="2005"/>
    <w:link w:val="1679"/>
  </w:style>
  <w:style w:type="character" w:styleId="2006">
    <w:name w:val="WW8Num19z3"/>
    <w:next w:val="2006"/>
    <w:link w:val="1679"/>
  </w:style>
  <w:style w:type="character" w:styleId="2007">
    <w:name w:val="WW8Num19z4"/>
    <w:next w:val="2007"/>
    <w:link w:val="1679"/>
  </w:style>
  <w:style w:type="character" w:styleId="2008">
    <w:name w:val="WW8Num19z5"/>
    <w:next w:val="2008"/>
    <w:link w:val="1679"/>
  </w:style>
  <w:style w:type="character" w:styleId="2009">
    <w:name w:val="WW8Num19z6"/>
    <w:next w:val="2009"/>
    <w:link w:val="1679"/>
  </w:style>
  <w:style w:type="character" w:styleId="2010">
    <w:name w:val="WW8Num19z7"/>
    <w:next w:val="2010"/>
    <w:link w:val="1679"/>
  </w:style>
  <w:style w:type="character" w:styleId="2011">
    <w:name w:val="WW8Num19z8"/>
    <w:next w:val="2011"/>
    <w:link w:val="1679"/>
  </w:style>
  <w:style w:type="character" w:styleId="2012">
    <w:name w:val="WW8Num9z1"/>
    <w:next w:val="2012"/>
    <w:link w:val="1679"/>
    <w:rPr>
      <w:sz w:val="24"/>
    </w:rPr>
  </w:style>
  <w:style w:type="character" w:styleId="2013">
    <w:name w:val="WW8Num9z2"/>
    <w:next w:val="2013"/>
    <w:link w:val="1679"/>
    <w:rPr>
      <w:rFonts w:ascii="Times New Roman" w:hAnsi="Times New Roman"/>
      <w:sz w:val="28"/>
    </w:rPr>
  </w:style>
  <w:style w:type="character" w:styleId="2014">
    <w:name w:val="WW8Num9z3"/>
    <w:next w:val="2014"/>
    <w:link w:val="1679"/>
  </w:style>
  <w:style w:type="character" w:styleId="2015">
    <w:name w:val="WW8Num13z1"/>
    <w:next w:val="2015"/>
    <w:link w:val="1679"/>
  </w:style>
  <w:style w:type="character" w:styleId="2016">
    <w:name w:val="WW8Num13z4"/>
    <w:next w:val="2016"/>
    <w:link w:val="1679"/>
  </w:style>
  <w:style w:type="character" w:styleId="2017">
    <w:name w:val="WW8Num13z5"/>
    <w:next w:val="2017"/>
    <w:link w:val="1679"/>
  </w:style>
  <w:style w:type="character" w:styleId="2018">
    <w:name w:val="WW8Num13z6"/>
    <w:next w:val="2018"/>
    <w:link w:val="1679"/>
  </w:style>
  <w:style w:type="character" w:styleId="2019">
    <w:name w:val="WW8Num13z7"/>
    <w:next w:val="2019"/>
    <w:link w:val="1679"/>
  </w:style>
  <w:style w:type="character" w:styleId="2020">
    <w:name w:val="WW8Num13z8"/>
    <w:next w:val="2020"/>
    <w:link w:val="1679"/>
  </w:style>
  <w:style w:type="character" w:styleId="2021">
    <w:name w:val="WW8Num2z1"/>
    <w:next w:val="2021"/>
    <w:link w:val="1679"/>
  </w:style>
  <w:style w:type="character" w:styleId="2022">
    <w:name w:val="WW8Num2z2"/>
    <w:next w:val="2022"/>
    <w:link w:val="1679"/>
  </w:style>
  <w:style w:type="character" w:styleId="2023">
    <w:name w:val="WW8Num2z3"/>
    <w:next w:val="2023"/>
    <w:link w:val="1679"/>
  </w:style>
  <w:style w:type="character" w:styleId="2024">
    <w:name w:val="WW8Num2z4"/>
    <w:next w:val="2024"/>
    <w:link w:val="1679"/>
  </w:style>
  <w:style w:type="character" w:styleId="2025">
    <w:name w:val="WW8Num2z5"/>
    <w:next w:val="2025"/>
    <w:link w:val="1679"/>
  </w:style>
  <w:style w:type="character" w:styleId="2026">
    <w:name w:val="WW8Num2z6"/>
    <w:next w:val="2026"/>
    <w:link w:val="1679"/>
  </w:style>
  <w:style w:type="character" w:styleId="2027">
    <w:name w:val="WW8Num2z7"/>
    <w:next w:val="2027"/>
    <w:link w:val="1679"/>
  </w:style>
  <w:style w:type="character" w:styleId="2028">
    <w:name w:val="WW8Num2z8"/>
    <w:next w:val="2028"/>
    <w:link w:val="1679"/>
  </w:style>
  <w:style w:type="character" w:styleId="2029">
    <w:name w:val="WW8Num3z1"/>
    <w:next w:val="2029"/>
    <w:link w:val="1679"/>
    <w:rPr>
      <w:rFonts w:ascii="Courier New" w:hAnsi="Courier New"/>
    </w:rPr>
  </w:style>
  <w:style w:type="character" w:styleId="2030">
    <w:name w:val="WW8Num3z2"/>
    <w:next w:val="2030"/>
    <w:link w:val="1679"/>
    <w:rPr>
      <w:rFonts w:ascii="Wingdings" w:hAnsi="Wingdings"/>
    </w:rPr>
  </w:style>
  <w:style w:type="character" w:styleId="2031">
    <w:name w:val="WW8Num3z3"/>
    <w:next w:val="2031"/>
    <w:link w:val="1679"/>
    <w:rPr>
      <w:rFonts w:ascii="Symbol" w:hAnsi="Symbol"/>
    </w:rPr>
  </w:style>
  <w:style w:type="character" w:styleId="2032">
    <w:name w:val="WW8Num9z4"/>
    <w:next w:val="2032"/>
    <w:link w:val="1679"/>
  </w:style>
  <w:style w:type="character" w:styleId="2033">
    <w:name w:val="WW8Num9z5"/>
    <w:next w:val="2033"/>
    <w:link w:val="1679"/>
  </w:style>
  <w:style w:type="character" w:styleId="2034">
    <w:name w:val="WW8Num9z6"/>
    <w:next w:val="2034"/>
    <w:link w:val="1679"/>
  </w:style>
  <w:style w:type="character" w:styleId="2035">
    <w:name w:val="WW8Num9z7"/>
    <w:next w:val="2035"/>
    <w:link w:val="1679"/>
  </w:style>
  <w:style w:type="character" w:styleId="2036">
    <w:name w:val="WW8Num9z8"/>
    <w:next w:val="2036"/>
    <w:link w:val="1679"/>
  </w:style>
  <w:style w:type="character" w:styleId="2037">
    <w:name w:val="Основной шрифт абзаца2"/>
    <w:next w:val="2037"/>
    <w:link w:val="1679"/>
  </w:style>
  <w:style w:type="character" w:styleId="2038">
    <w:name w:val="Верхний колонтитул Знак, Знак Знак,ВерхКолонтитул Знак"/>
    <w:next w:val="2038"/>
    <w:link w:val="1679"/>
    <w:uiPriority w:val="99"/>
    <w:rPr>
      <w:sz w:val="24"/>
    </w:rPr>
  </w:style>
  <w:style w:type="character" w:styleId="2039">
    <w:name w:val="Знак примечания2"/>
    <w:next w:val="2039"/>
    <w:link w:val="1679"/>
    <w:rPr>
      <w:sz w:val="18"/>
    </w:rPr>
  </w:style>
  <w:style w:type="character" w:styleId="2040">
    <w:name w:val="Текст примечания Знак"/>
    <w:next w:val="2040"/>
    <w:link w:val="1679"/>
    <w:rPr>
      <w:sz w:val="24"/>
      <w:lang w:val="en-US" w:eastAsia="en-US"/>
    </w:rPr>
  </w:style>
  <w:style w:type="character" w:styleId="2041">
    <w:name w:val="Текст выноски Знак"/>
    <w:next w:val="2041"/>
    <w:link w:val="1679"/>
    <w:rPr>
      <w:rFonts w:ascii="Tahoma" w:hAnsi="Tahoma"/>
      <w:sz w:val="16"/>
    </w:rPr>
  </w:style>
  <w:style w:type="character" w:styleId="2042">
    <w:name w:val="Internet Link"/>
    <w:next w:val="2042"/>
    <w:link w:val="1679"/>
    <w:rPr>
      <w:color w:val="0000ff"/>
      <w:u w:val="single"/>
    </w:rPr>
  </w:style>
  <w:style w:type="character" w:styleId="2043">
    <w:name w:val="Visited Internet Link"/>
    <w:next w:val="2043"/>
    <w:link w:val="1679"/>
    <w:rPr>
      <w:color w:val="800080"/>
      <w:u w:val="single"/>
    </w:rPr>
  </w:style>
  <w:style w:type="character" w:styleId="2044">
    <w:name w:val="Тема примечания Знак"/>
    <w:next w:val="2044"/>
    <w:link w:val="1679"/>
    <w:rPr>
      <w:b/>
      <w:sz w:val="24"/>
      <w:lang w:val="en-US" w:eastAsia="en-US"/>
    </w:rPr>
  </w:style>
  <w:style w:type="character" w:styleId="2045">
    <w:name w:val="Текст Знак"/>
    <w:next w:val="2045"/>
    <w:link w:val="1679"/>
    <w:uiPriority w:val="99"/>
    <w:rPr>
      <w:rFonts w:ascii="Courier New" w:hAnsi="Courier New"/>
    </w:rPr>
  </w:style>
  <w:style w:type="character" w:styleId="2046">
    <w:name w:val="Текст сноски Знак"/>
    <w:next w:val="2046"/>
    <w:link w:val="1679"/>
    <w:uiPriority w:val="99"/>
    <w:rPr>
      <w:rFonts w:cs="Times New Roman"/>
    </w:rPr>
  </w:style>
  <w:style w:type="character" w:styleId="2047">
    <w:name w:val="Символ сноски"/>
    <w:next w:val="2047"/>
    <w:link w:val="1679"/>
    <w:rPr>
      <w:vertAlign w:val="superscript"/>
    </w:rPr>
  </w:style>
  <w:style w:type="character" w:styleId="2048">
    <w:name w:val="Основной текст с отступом Знак"/>
    <w:next w:val="2048"/>
    <w:link w:val="1679"/>
    <w:rPr>
      <w:sz w:val="24"/>
    </w:rPr>
  </w:style>
  <w:style w:type="character" w:styleId="2049">
    <w:name w:val="Заголовок 1 Знак"/>
    <w:next w:val="2049"/>
    <w:link w:val="1679"/>
    <w:rPr>
      <w:rFonts w:eastAsia="Times New Roman"/>
      <w:sz w:val="28"/>
    </w:rPr>
  </w:style>
  <w:style w:type="character" w:styleId="2050">
    <w:name w:val="Заголовок 2 Знак"/>
    <w:next w:val="2050"/>
    <w:link w:val="1679"/>
    <w:rPr>
      <w:rFonts w:eastAsia="Times New Roman"/>
      <w:sz w:val="28"/>
    </w:rPr>
  </w:style>
  <w:style w:type="character" w:styleId="2051">
    <w:name w:val="Заголовок 3 Знак"/>
    <w:next w:val="2051"/>
    <w:link w:val="1679"/>
    <w:rPr>
      <w:rFonts w:eastAsia="Times New Roman"/>
      <w:sz w:val="28"/>
    </w:rPr>
  </w:style>
  <w:style w:type="character" w:styleId="2052">
    <w:name w:val="Заголовок 4 Знак"/>
    <w:next w:val="2052"/>
    <w:link w:val="1679"/>
    <w:rPr>
      <w:rFonts w:eastAsia="Times New Roman"/>
      <w:b/>
      <w:sz w:val="28"/>
    </w:rPr>
  </w:style>
  <w:style w:type="character" w:styleId="2053">
    <w:name w:val="Заголовок 5 Знак"/>
    <w:next w:val="2053"/>
    <w:link w:val="1679"/>
    <w:rPr>
      <w:rFonts w:eastAsia="Times New Roman"/>
      <w:sz w:val="28"/>
    </w:rPr>
  </w:style>
  <w:style w:type="character" w:styleId="2054">
    <w:name w:val="Заголовок 6 Знак"/>
    <w:next w:val="2054"/>
    <w:link w:val="1679"/>
    <w:rPr>
      <w:rFonts w:eastAsia="Times New Roman"/>
      <w:b/>
      <w:sz w:val="28"/>
    </w:rPr>
  </w:style>
  <w:style w:type="character" w:styleId="2055">
    <w:name w:val="Заголовок 7 Знак"/>
    <w:next w:val="2055"/>
    <w:link w:val="1679"/>
    <w:rPr>
      <w:rFonts w:eastAsia="Times New Roman"/>
      <w:sz w:val="28"/>
    </w:rPr>
  </w:style>
  <w:style w:type="character" w:styleId="2056">
    <w:name w:val="Заголовок 8 Знак"/>
    <w:next w:val="2056"/>
    <w:link w:val="1679"/>
    <w:rPr>
      <w:rFonts w:eastAsia="Times New Roman"/>
      <w:sz w:val="28"/>
    </w:rPr>
  </w:style>
  <w:style w:type="character" w:styleId="2057">
    <w:name w:val="Заголовок 9 Знак"/>
    <w:next w:val="2057"/>
    <w:link w:val="1679"/>
    <w:rPr>
      <w:rFonts w:eastAsia="Times New Roman"/>
      <w:sz w:val="28"/>
    </w:rPr>
  </w:style>
  <w:style w:type="character" w:styleId="2058">
    <w:name w:val="Основной текст Знак"/>
    <w:next w:val="2058"/>
    <w:link w:val="1679"/>
    <w:rPr>
      <w:sz w:val="24"/>
    </w:rPr>
  </w:style>
  <w:style w:type="character" w:styleId="2059">
    <w:name w:val="Основной текст 2 Знак"/>
    <w:next w:val="2059"/>
    <w:link w:val="1679"/>
    <w:rPr>
      <w:rFonts w:eastAsia="Times New Roman"/>
      <w:sz w:val="28"/>
      <w:lang w:val="en-US" w:eastAsia="en-US"/>
    </w:rPr>
  </w:style>
  <w:style w:type="character" w:styleId="2060">
    <w:name w:val="Нижний колонтитул Знак"/>
    <w:next w:val="2060"/>
    <w:link w:val="1679"/>
    <w:rPr>
      <w:sz w:val="24"/>
    </w:rPr>
  </w:style>
  <w:style w:type="character" w:styleId="2061">
    <w:name w:val="Основной текст с отступом 2 Знак"/>
    <w:next w:val="2061"/>
    <w:link w:val="1679"/>
    <w:rPr>
      <w:rFonts w:eastAsia="Times New Roman"/>
      <w:sz w:val="28"/>
    </w:rPr>
  </w:style>
  <w:style w:type="character" w:styleId="2062">
    <w:name w:val="Основной текст 3 Знак"/>
    <w:next w:val="2062"/>
    <w:link w:val="1679"/>
    <w:rPr>
      <w:rFonts w:eastAsia="Times New Roman"/>
      <w:color w:val="ff0000"/>
      <w:sz w:val="28"/>
    </w:rPr>
  </w:style>
  <w:style w:type="character" w:styleId="2063">
    <w:name w:val="Line Numbering"/>
    <w:next w:val="2063"/>
    <w:link w:val="1679"/>
  </w:style>
  <w:style w:type="character" w:styleId="2064">
    <w:name w:val="Схема документа Знак1"/>
    <w:next w:val="2064"/>
    <w:link w:val="1679"/>
    <w:rPr>
      <w:rFonts w:ascii="Tahoma" w:hAnsi="Tahoma" w:eastAsia="Times New Roman"/>
      <w:sz w:val="16"/>
    </w:rPr>
  </w:style>
  <w:style w:type="character" w:styleId="2065">
    <w:name w:val="Подзаголовок Знак"/>
    <w:next w:val="2065"/>
    <w:link w:val="1679"/>
    <w:uiPriority w:val="99"/>
    <w:rPr>
      <w:rFonts w:ascii="Cambria" w:hAnsi="Cambria"/>
      <w:sz w:val="24"/>
    </w:rPr>
  </w:style>
  <w:style w:type="character" w:styleId="2066">
    <w:name w:val="Strong Emphasis"/>
    <w:next w:val="2066"/>
    <w:link w:val="1679"/>
    <w:rPr>
      <w:b/>
    </w:rPr>
  </w:style>
  <w:style w:type="character" w:styleId="2067">
    <w:name w:val="Название Знак"/>
    <w:next w:val="2067"/>
    <w:link w:val="1679"/>
    <w:rPr>
      <w:rFonts w:ascii="Cambria" w:hAnsi="Cambria"/>
      <w:b/>
      <w:sz w:val="32"/>
    </w:rPr>
  </w:style>
  <w:style w:type="character" w:styleId="2068">
    <w:name w:val="Стандартный HTML Знак"/>
    <w:next w:val="2068"/>
    <w:link w:val="1679"/>
    <w:uiPriority w:val="99"/>
    <w:rPr>
      <w:rFonts w:ascii="Courier New" w:hAnsi="Courier New"/>
    </w:rPr>
  </w:style>
  <w:style w:type="character" w:styleId="2069">
    <w:name w:val="Основной текст с отступом 3 Знак"/>
    <w:next w:val="2069"/>
    <w:link w:val="1679"/>
    <w:rPr>
      <w:rFonts w:ascii="Courier New" w:hAnsi="Courier New"/>
      <w:sz w:val="28"/>
    </w:rPr>
  </w:style>
  <w:style w:type="character" w:styleId="2070">
    <w:name w:val="Основной шрифт абзаца1"/>
    <w:next w:val="2070"/>
    <w:link w:val="1679"/>
  </w:style>
  <w:style w:type="character" w:styleId="2071">
    <w:name w:val="Знак примечания1"/>
    <w:next w:val="2071"/>
    <w:link w:val="1679"/>
    <w:rPr>
      <w:sz w:val="16"/>
    </w:rPr>
  </w:style>
  <w:style w:type="character" w:styleId="2072">
    <w:name w:val="Символ нумерации"/>
    <w:next w:val="2072"/>
    <w:link w:val="1679"/>
  </w:style>
  <w:style w:type="character" w:styleId="2073">
    <w:name w:val="Font Style25"/>
    <w:next w:val="2073"/>
    <w:link w:val="1679"/>
    <w:rPr>
      <w:rFonts w:ascii="Times New Roman" w:hAnsi="Times New Roman"/>
      <w:b/>
      <w:sz w:val="20"/>
    </w:rPr>
  </w:style>
  <w:style w:type="character" w:styleId="2074">
    <w:name w:val="Текст примечания Знак1"/>
    <w:next w:val="2074"/>
    <w:link w:val="1679"/>
    <w:rPr>
      <w:rFonts w:ascii="Calibri" w:hAnsi="Calibri" w:eastAsia="Times New Roman"/>
    </w:rPr>
  </w:style>
  <w:style w:type="character" w:styleId="2075">
    <w:name w:val="serp-url__item1"/>
    <w:next w:val="2075"/>
    <w:link w:val="1679"/>
  </w:style>
  <w:style w:type="character" w:styleId="2076">
    <w:name w:val="serp-url__mark1"/>
    <w:next w:val="2076"/>
    <w:link w:val="1679"/>
    <w:rPr>
      <w:rFonts w:ascii="Verdana" w:hAnsi="Verdana"/>
    </w:rPr>
  </w:style>
  <w:style w:type="character" w:styleId="2077">
    <w:name w:val="Footnote Characters"/>
    <w:next w:val="2077"/>
    <w:link w:val="1679"/>
    <w:rPr>
      <w:vertAlign w:val="superscript"/>
    </w:rPr>
  </w:style>
  <w:style w:type="character" w:styleId="2078">
    <w:name w:val="Символы концевой сноски"/>
    <w:next w:val="2078"/>
    <w:link w:val="1679"/>
    <w:rPr>
      <w:vertAlign w:val="superscript"/>
    </w:rPr>
  </w:style>
  <w:style w:type="character" w:styleId="2079">
    <w:name w:val="WW-Символы концевой сноски"/>
    <w:next w:val="2079"/>
    <w:link w:val="1679"/>
  </w:style>
  <w:style w:type="character" w:styleId="2080">
    <w:name w:val="Endnote Characters"/>
    <w:next w:val="2080"/>
    <w:link w:val="1679"/>
    <w:rPr>
      <w:vertAlign w:val="superscript"/>
    </w:rPr>
  </w:style>
  <w:style w:type="character" w:styleId="2081">
    <w:name w:val="Текст Знак1"/>
    <w:next w:val="2081"/>
    <w:link w:val="1679"/>
    <w:uiPriority w:val="99"/>
    <w:rPr>
      <w:rFonts w:ascii="Courier New" w:hAnsi="Courier New"/>
    </w:rPr>
  </w:style>
  <w:style w:type="character" w:styleId="2082">
    <w:name w:val="Основной текст с отступом 3 Знак1"/>
    <w:next w:val="2082"/>
    <w:link w:val="1679"/>
    <w:uiPriority w:val="99"/>
    <w:rPr>
      <w:sz w:val="16"/>
    </w:rPr>
  </w:style>
  <w:style w:type="character" w:styleId="2083">
    <w:name w:val="Текст примечания Знак2"/>
    <w:next w:val="2083"/>
    <w:link w:val="1679"/>
    <w:uiPriority w:val="99"/>
  </w:style>
  <w:style w:type="character" w:styleId="2084">
    <w:name w:val="Основной текст 2 Знак1"/>
    <w:next w:val="2084"/>
    <w:link w:val="1679"/>
    <w:uiPriority w:val="99"/>
    <w:rPr>
      <w:sz w:val="24"/>
    </w:rPr>
  </w:style>
  <w:style w:type="character" w:styleId="2085">
    <w:name w:val="Основной текст с отступом 2 Знак1"/>
    <w:next w:val="2085"/>
    <w:link w:val="1679"/>
    <w:uiPriority w:val="99"/>
    <w:rPr>
      <w:sz w:val="24"/>
    </w:rPr>
  </w:style>
  <w:style w:type="character" w:styleId="2086">
    <w:name w:val="Основной текст 3 Знак1"/>
    <w:next w:val="2086"/>
    <w:link w:val="1679"/>
    <w:uiPriority w:val="99"/>
    <w:rPr>
      <w:sz w:val="16"/>
    </w:rPr>
  </w:style>
  <w:style w:type="character" w:styleId="2087">
    <w:name w:val="Схема документа Знак2"/>
    <w:next w:val="2087"/>
    <w:link w:val="1679"/>
    <w:uiPriority w:val="99"/>
    <w:rPr>
      <w:rFonts w:ascii="Tahoma" w:hAnsi="Tahoma"/>
      <w:sz w:val="16"/>
    </w:rPr>
  </w:style>
  <w:style w:type="character" w:styleId="2088">
    <w:name w:val="ng-binding"/>
    <w:next w:val="2088"/>
    <w:link w:val="1679"/>
  </w:style>
  <w:style w:type="character" w:styleId="2089">
    <w:name w:val="Footnote Anchor"/>
    <w:next w:val="2089"/>
    <w:link w:val="1679"/>
    <w:rPr>
      <w:vertAlign w:val="superscript"/>
    </w:rPr>
  </w:style>
  <w:style w:type="character" w:styleId="2090">
    <w:name w:val="Endnote Anchor"/>
    <w:next w:val="2090"/>
    <w:link w:val="1679"/>
    <w:rPr>
      <w:vertAlign w:val="superscript"/>
    </w:rPr>
  </w:style>
  <w:style w:type="paragraph" w:styleId="2091">
    <w:name w:val="Heading"/>
    <w:basedOn w:val="1679"/>
    <w:next w:val="1679"/>
    <w:link w:val="1679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092">
    <w:name w:val="Index"/>
    <w:basedOn w:val="1679"/>
    <w:next w:val="2092"/>
    <w:link w:val="1679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093">
    <w:name w:val="Заголовок"/>
    <w:basedOn w:val="1679"/>
    <w:next w:val="1716"/>
    <w:link w:val="1679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paragraph" w:styleId="2094">
    <w:name w:val="Название2"/>
    <w:basedOn w:val="1679"/>
    <w:next w:val="2094"/>
    <w:link w:val="1679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095">
    <w:name w:val="Указатель2"/>
    <w:basedOn w:val="1679"/>
    <w:next w:val="2095"/>
    <w:link w:val="1679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096">
    <w:name w:val="Знак2 Знак Знак1 Знак1 Знак Знак Знак Знак Знак Знак Знак Знак Знак Знак Знак Знак"/>
    <w:basedOn w:val="1679"/>
    <w:next w:val="2096"/>
    <w:link w:val="1679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097">
    <w:name w:val="Текст1"/>
    <w:basedOn w:val="1679"/>
    <w:next w:val="2097"/>
    <w:link w:val="1679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098">
    <w:name w:val="Основной текст с отступом 31"/>
    <w:basedOn w:val="1679"/>
    <w:next w:val="2098"/>
    <w:link w:val="1679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099">
    <w:name w:val="Текст примечания2"/>
    <w:basedOn w:val="1679"/>
    <w:next w:val="2099"/>
    <w:link w:val="1679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100">
    <w:name w:val="Название объекта1"/>
    <w:basedOn w:val="1679"/>
    <w:next w:val="1679"/>
    <w:link w:val="1679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101">
    <w:name w:val="Основной текст 21"/>
    <w:basedOn w:val="1679"/>
    <w:next w:val="2101"/>
    <w:link w:val="1679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102">
    <w:name w:val="Основной текст с отступом 21"/>
    <w:basedOn w:val="1679"/>
    <w:next w:val="2102"/>
    <w:link w:val="1679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103">
    <w:name w:val="Основной текст 31"/>
    <w:basedOn w:val="1679"/>
    <w:next w:val="2103"/>
    <w:link w:val="1679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104">
    <w:name w:val="Схема документа1"/>
    <w:basedOn w:val="1679"/>
    <w:next w:val="2104"/>
    <w:link w:val="1679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105">
    <w:name w:val="Знак2 Знак Знак1 Знак1 Знак Знак Знак Знак Знак Знак Знак Знак Знак Знак Знак Знак1"/>
    <w:basedOn w:val="1679"/>
    <w:next w:val="2105"/>
    <w:link w:val="1679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106">
    <w:name w:val="Абзац списка1"/>
    <w:basedOn w:val="1679"/>
    <w:next w:val="2106"/>
    <w:link w:val="1679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07">
    <w:name w:val="Название1"/>
    <w:basedOn w:val="1679"/>
    <w:next w:val="2107"/>
    <w:link w:val="1679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108">
    <w:name w:val="Указатель1"/>
    <w:basedOn w:val="1679"/>
    <w:next w:val="2108"/>
    <w:link w:val="1679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109">
    <w:name w:val="Текст примечания1"/>
    <w:basedOn w:val="1679"/>
    <w:next w:val="2109"/>
    <w:link w:val="1679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110">
    <w:name w:val="Обычный + по ширине"/>
    <w:basedOn w:val="1679"/>
    <w:next w:val="2110"/>
    <w:link w:val="1679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111">
    <w:name w:val="Содержимое таблицы"/>
    <w:basedOn w:val="1679"/>
    <w:next w:val="2111"/>
    <w:link w:val="1679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112">
    <w:name w:val="Заголовок таблицы"/>
    <w:basedOn w:val="2111"/>
    <w:next w:val="2112"/>
    <w:link w:val="1679"/>
    <w:pPr>
      <w:jc w:val="center"/>
    </w:pPr>
    <w:rPr>
      <w:b/>
      <w:bCs/>
    </w:rPr>
  </w:style>
  <w:style w:type="paragraph" w:styleId="2113">
    <w:name w:val="Абзац списка2"/>
    <w:basedOn w:val="1679"/>
    <w:next w:val="2113"/>
    <w:link w:val="1679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14">
    <w:name w:val="Абзац списка3"/>
    <w:basedOn w:val="1679"/>
    <w:next w:val="2114"/>
    <w:link w:val="1679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15">
    <w:name w:val="Абзац списка4"/>
    <w:basedOn w:val="1679"/>
    <w:next w:val="2115"/>
    <w:link w:val="1679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16">
    <w:name w:val="Абзац списка5"/>
    <w:basedOn w:val="1679"/>
    <w:next w:val="2116"/>
    <w:link w:val="1679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17">
    <w:name w:val="Абзац списка6"/>
    <w:basedOn w:val="1679"/>
    <w:next w:val="2117"/>
    <w:link w:val="1679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18">
    <w:name w:val="s_3"/>
    <w:basedOn w:val="1679"/>
    <w:next w:val="2118"/>
    <w:link w:val="1679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119">
    <w:name w:val="Абзац списка7"/>
    <w:basedOn w:val="1679"/>
    <w:next w:val="2119"/>
    <w:link w:val="1679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120">
    <w:name w:val="Table Contents"/>
    <w:basedOn w:val="1679"/>
    <w:next w:val="2120"/>
    <w:link w:val="1679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121">
    <w:name w:val="Table Heading"/>
    <w:basedOn w:val="2120"/>
    <w:next w:val="2121"/>
    <w:link w:val="1679"/>
    <w:pPr>
      <w:jc w:val="center"/>
    </w:pPr>
    <w:rPr>
      <w:b/>
      <w:bCs/>
    </w:rPr>
  </w:style>
  <w:style w:type="character" w:styleId="2122">
    <w:name w:val="Знак11 Знак, Знак11 Знак Знак"/>
    <w:next w:val="2122"/>
    <w:link w:val="1679"/>
    <w:rPr>
      <w:rFonts w:ascii="Courier New" w:hAnsi="Courier New" w:cs="Courier New"/>
    </w:rPr>
  </w:style>
  <w:style w:type="paragraph" w:styleId="2123">
    <w:name w:val="font1"/>
    <w:basedOn w:val="1679"/>
    <w:next w:val="2123"/>
    <w:link w:val="1679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124">
    <w:name w:val="font5"/>
    <w:basedOn w:val="1679"/>
    <w:next w:val="2124"/>
    <w:link w:val="1679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125">
    <w:name w:val="font6"/>
    <w:basedOn w:val="1679"/>
    <w:next w:val="2125"/>
    <w:link w:val="1679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126">
    <w:name w:val="S_Обычный жирный Знак"/>
    <w:next w:val="2126"/>
    <w:link w:val="1746"/>
    <w:rPr>
      <w:sz w:val="28"/>
      <w:szCs w:val="28"/>
    </w:rPr>
  </w:style>
  <w:style w:type="numbering" w:styleId="2127">
    <w:name w:val="Нет списка3"/>
    <w:next w:val="1691"/>
    <w:link w:val="1679"/>
    <w:uiPriority w:val="99"/>
    <w:semiHidden/>
  </w:style>
  <w:style w:type="paragraph" w:styleId="2128">
    <w:name w:val=" Знак"/>
    <w:basedOn w:val="1679"/>
    <w:next w:val="2128"/>
    <w:link w:val="1679"/>
    <w:pPr>
      <w:jc w:val="left"/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2129">
    <w:name w:val="s_1"/>
    <w:basedOn w:val="1679"/>
    <w:next w:val="2129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130">
    <w:name w:val="s_22"/>
    <w:basedOn w:val="1679"/>
    <w:next w:val="2130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131">
    <w:name w:val="empty"/>
    <w:basedOn w:val="1679"/>
    <w:next w:val="2131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2132">
    <w:name w:val="s_16"/>
    <w:basedOn w:val="1679"/>
    <w:next w:val="2132"/>
    <w:link w:val="1679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numbering" w:styleId="2133">
    <w:name w:val="Нет списка11"/>
    <w:next w:val="1691"/>
    <w:link w:val="1679"/>
    <w:uiPriority w:val="99"/>
    <w:semiHidden/>
  </w:style>
  <w:style w:type="numbering" w:styleId="2134">
    <w:name w:val="Нет списка111"/>
    <w:next w:val="1691"/>
    <w:link w:val="1679"/>
    <w:uiPriority w:val="99"/>
    <w:semiHidden/>
    <w:unhideWhenUsed/>
  </w:style>
  <w:style w:type="numbering" w:styleId="2135">
    <w:name w:val="Нет списка21"/>
    <w:next w:val="1691"/>
    <w:link w:val="1679"/>
    <w:uiPriority w:val="99"/>
    <w:semiHidden/>
    <w:unhideWhenUsed/>
  </w:style>
  <w:style w:type="numbering" w:styleId="2136">
    <w:name w:val="List 01"/>
    <w:basedOn w:val="1691"/>
    <w:next w:val="2136"/>
    <w:link w:val="1679"/>
    <w:semiHidden/>
    <w:pPr>
      <w:numPr>
        <w:ilvl w:val="0"/>
        <w:numId w:val="3"/>
      </w:numPr>
    </w:pPr>
  </w:style>
  <w:style w:type="character" w:styleId="2137">
    <w:name w:val="blk"/>
    <w:next w:val="2137"/>
    <w:link w:val="1679"/>
    <w:rPr>
      <w:rFonts w:cs="Times New Roman"/>
    </w:rPr>
  </w:style>
  <w:style w:type="numbering" w:styleId="2138">
    <w:name w:val="Нет списка31"/>
    <w:next w:val="1691"/>
    <w:link w:val="1679"/>
    <w:uiPriority w:val="99"/>
    <w:semiHidden/>
  </w:style>
  <w:style w:type="numbering" w:styleId="2139">
    <w:name w:val="Нет списка12"/>
    <w:next w:val="1691"/>
    <w:link w:val="1679"/>
    <w:uiPriority w:val="99"/>
    <w:semiHidden/>
    <w:unhideWhenUsed/>
  </w:style>
  <w:style w:type="numbering" w:styleId="2140">
    <w:name w:val="Нет списка211"/>
    <w:next w:val="1691"/>
    <w:link w:val="1679"/>
    <w:uiPriority w:val="99"/>
    <w:semiHidden/>
    <w:unhideWhenUsed/>
  </w:style>
  <w:style w:type="numbering" w:styleId="2141">
    <w:name w:val="List 011"/>
    <w:basedOn w:val="1691"/>
    <w:next w:val="2141"/>
    <w:link w:val="1679"/>
    <w:semiHidden/>
    <w:pPr>
      <w:numPr>
        <w:ilvl w:val="0"/>
        <w:numId w:val="1"/>
      </w:numPr>
    </w:pPr>
  </w:style>
  <w:style w:type="numbering" w:styleId="2142">
    <w:name w:val="Нет списка4"/>
    <w:next w:val="1691"/>
    <w:link w:val="1679"/>
    <w:uiPriority w:val="99"/>
    <w:semiHidden/>
    <w:unhideWhenUsed/>
  </w:style>
  <w:style w:type="table" w:styleId="2143">
    <w:name w:val="Сетка таблицы1"/>
    <w:basedOn w:val="1690"/>
    <w:next w:val="1713"/>
    <w:link w:val="1679"/>
    <w:uiPriority w:val="59"/>
    <w:rPr>
      <w:rFonts w:ascii="Calibri" w:hAnsi="Calibri"/>
      <w:sz w:val="22"/>
      <w:szCs w:val="22"/>
    </w:rPr>
    <w:tblPr/>
  </w:style>
  <w:style w:type="character" w:styleId="2144">
    <w:name w:val="hl"/>
    <w:next w:val="2144"/>
    <w:link w:val="1679"/>
  </w:style>
  <w:style w:type="numbering" w:styleId="2145">
    <w:name w:val="List 02"/>
    <w:basedOn w:val="1691"/>
    <w:next w:val="2145"/>
    <w:link w:val="1679"/>
    <w:semiHidden/>
    <w:pPr>
      <w:numPr>
        <w:ilvl w:val="0"/>
        <w:numId w:val="8"/>
      </w:numPr>
    </w:pPr>
  </w:style>
  <w:style w:type="numbering" w:styleId="2146">
    <w:name w:val="Нет списка13"/>
    <w:next w:val="1691"/>
    <w:link w:val="1679"/>
    <w:uiPriority w:val="99"/>
    <w:semiHidden/>
    <w:unhideWhenUsed/>
  </w:style>
  <w:style w:type="numbering" w:styleId="2147">
    <w:name w:val="Нет списка22"/>
    <w:next w:val="1691"/>
    <w:link w:val="1679"/>
    <w:uiPriority w:val="99"/>
    <w:semiHidden/>
    <w:unhideWhenUsed/>
  </w:style>
  <w:style w:type="numbering" w:styleId="2148">
    <w:name w:val="Нет списка5"/>
    <w:next w:val="1691"/>
    <w:link w:val="1679"/>
    <w:uiPriority w:val="99"/>
    <w:semiHidden/>
    <w:unhideWhenUsed/>
  </w:style>
  <w:style w:type="character" w:styleId="2149">
    <w:name w:val="Знак концевой сноски"/>
    <w:next w:val="2149"/>
    <w:link w:val="1679"/>
    <w:rPr>
      <w:vertAlign w:val="superscript"/>
    </w:rPr>
  </w:style>
  <w:style w:type="character" w:styleId="2150">
    <w:name w:val="Заголовок Знак"/>
    <w:next w:val="2150"/>
    <w:link w:val="1679"/>
    <w:rPr>
      <w:rFonts w:ascii="Arial" w:hAnsi="Arial" w:eastAsia="Microsoft YaHei" w:cs="Mangal"/>
      <w:sz w:val="28"/>
      <w:szCs w:val="28"/>
      <w:lang w:eastAsia="ar-SA"/>
    </w:rPr>
  </w:style>
  <w:style w:type="numbering" w:styleId="2151">
    <w:name w:val="List 03"/>
    <w:basedOn w:val="1691"/>
    <w:next w:val="2151"/>
    <w:link w:val="1679"/>
    <w:semiHidden/>
    <w:pPr>
      <w:numPr>
        <w:ilvl w:val="0"/>
        <w:numId w:val="5"/>
      </w:numPr>
    </w:pPr>
  </w:style>
  <w:style w:type="numbering" w:styleId="2152">
    <w:name w:val="Нет списка14"/>
    <w:next w:val="1691"/>
    <w:link w:val="1679"/>
    <w:uiPriority w:val="99"/>
    <w:semiHidden/>
    <w:unhideWhenUsed/>
  </w:style>
  <w:style w:type="numbering" w:styleId="2153">
    <w:name w:val="Нет списка23"/>
    <w:next w:val="1691"/>
    <w:link w:val="1679"/>
    <w:uiPriority w:val="99"/>
    <w:semiHidden/>
    <w:unhideWhenUsed/>
  </w:style>
  <w:style w:type="numbering" w:styleId="2154">
    <w:name w:val="List 0111"/>
    <w:basedOn w:val="1691"/>
    <w:next w:val="2154"/>
    <w:link w:val="1679"/>
    <w:semiHidden/>
    <w:pPr>
      <w:numPr>
        <w:ilvl w:val="0"/>
        <w:numId w:val="16"/>
      </w:numPr>
    </w:pPr>
  </w:style>
  <w:style w:type="numbering" w:styleId="2155">
    <w:name w:val="Стиль11"/>
    <w:next w:val="2155"/>
    <w:link w:val="1679"/>
    <w:pPr>
      <w:numPr>
        <w:ilvl w:val="0"/>
        <w:numId w:val="15"/>
      </w:numPr>
    </w:pPr>
  </w:style>
  <w:style w:type="numbering" w:styleId="2156">
    <w:name w:val="List 021"/>
    <w:basedOn w:val="1691"/>
    <w:next w:val="2156"/>
    <w:link w:val="1679"/>
    <w:semiHidden/>
    <w:pPr>
      <w:numPr>
        <w:ilvl w:val="0"/>
        <w:numId w:val="5"/>
      </w:numPr>
    </w:pPr>
  </w:style>
  <w:style w:type="numbering" w:styleId="2157">
    <w:name w:val="Стиль12"/>
    <w:next w:val="2157"/>
    <w:link w:val="1679"/>
    <w:pPr>
      <w:numPr>
        <w:ilvl w:val="0"/>
        <w:numId w:val="4"/>
      </w:numPr>
    </w:pPr>
  </w:style>
  <w:style w:type="numbering" w:styleId="2158">
    <w:name w:val="List 031"/>
    <w:basedOn w:val="1691"/>
    <w:next w:val="2158"/>
    <w:link w:val="1679"/>
    <w:semiHidden/>
    <w:pPr>
      <w:numPr>
        <w:ilvl w:val="0"/>
        <w:numId w:val="12"/>
      </w:numPr>
    </w:pPr>
  </w:style>
  <w:style w:type="numbering" w:styleId="2159">
    <w:name w:val="Стиль13"/>
    <w:next w:val="2159"/>
    <w:link w:val="1679"/>
    <w:pPr>
      <w:numPr>
        <w:ilvl w:val="0"/>
        <w:numId w:val="11"/>
      </w:numPr>
    </w:pPr>
  </w:style>
  <w:style w:type="numbering" w:styleId="2160">
    <w:name w:val="List 04"/>
    <w:basedOn w:val="1691"/>
    <w:next w:val="2160"/>
    <w:link w:val="1679"/>
    <w:semiHidden/>
    <w:pPr>
      <w:numPr>
        <w:ilvl w:val="0"/>
        <w:numId w:val="14"/>
      </w:numPr>
    </w:pPr>
  </w:style>
  <w:style w:type="numbering" w:styleId="2161">
    <w:name w:val="Стиль14"/>
    <w:next w:val="2161"/>
    <w:link w:val="1679"/>
    <w:pPr>
      <w:numPr>
        <w:ilvl w:val="0"/>
        <w:numId w:val="13"/>
      </w:numPr>
    </w:pPr>
  </w:style>
  <w:style w:type="numbering" w:styleId="2162">
    <w:name w:val="Нет списка6"/>
    <w:next w:val="1691"/>
    <w:link w:val="1679"/>
    <w:uiPriority w:val="99"/>
    <w:semiHidden/>
    <w:unhideWhenUsed/>
  </w:style>
  <w:style w:type="numbering" w:styleId="2163">
    <w:name w:val="Стиль131"/>
    <w:next w:val="2163"/>
    <w:link w:val="1679"/>
    <w:pPr>
      <w:numPr>
        <w:ilvl w:val="0"/>
        <w:numId w:val="7"/>
      </w:numPr>
    </w:pPr>
  </w:style>
  <w:style w:type="numbering" w:styleId="2164">
    <w:name w:val="Стиль1311"/>
    <w:next w:val="2164"/>
    <w:link w:val="1679"/>
    <w:pPr>
      <w:numPr>
        <w:ilvl w:val="0"/>
        <w:numId w:val="1"/>
      </w:numPr>
    </w:pPr>
  </w:style>
  <w:style w:type="numbering" w:styleId="2165">
    <w:name w:val="Стиль1312"/>
    <w:next w:val="2165"/>
    <w:link w:val="1679"/>
    <w:pPr>
      <w:numPr>
        <w:ilvl w:val="0"/>
        <w:numId w:val="1"/>
      </w:numPr>
    </w:pPr>
  </w:style>
  <w:style w:type="numbering" w:styleId="2166">
    <w:name w:val="List 012"/>
    <w:basedOn w:val="1691"/>
    <w:next w:val="2166"/>
    <w:link w:val="1679"/>
    <w:semiHidden/>
    <w:pPr>
      <w:numPr>
        <w:ilvl w:val="0"/>
        <w:numId w:val="6"/>
      </w:numPr>
    </w:pPr>
  </w:style>
  <w:style w:type="numbering" w:styleId="2167">
    <w:name w:val="List 022"/>
    <w:basedOn w:val="1691"/>
    <w:next w:val="2167"/>
    <w:link w:val="1679"/>
    <w:semiHidden/>
  </w:style>
  <w:style w:type="numbering" w:styleId="2168">
    <w:name w:val="List 032"/>
    <w:basedOn w:val="1691"/>
    <w:next w:val="2168"/>
    <w:link w:val="1679"/>
    <w:semiHidden/>
  </w:style>
  <w:style w:type="numbering" w:styleId="2169">
    <w:name w:val="List 041"/>
    <w:basedOn w:val="1691"/>
    <w:next w:val="2169"/>
    <w:link w:val="1679"/>
    <w:semiHidden/>
  </w:style>
  <w:style w:type="numbering" w:styleId="2170">
    <w:name w:val="Нет списка24"/>
    <w:next w:val="1691"/>
    <w:link w:val="1679"/>
    <w:uiPriority w:val="99"/>
    <w:semiHidden/>
    <w:unhideWhenUsed/>
  </w:style>
  <w:style w:type="numbering" w:styleId="2171">
    <w:name w:val="Стиль141"/>
    <w:next w:val="2171"/>
    <w:link w:val="1679"/>
    <w:pPr>
      <w:numPr>
        <w:ilvl w:val="0"/>
        <w:numId w:val="8"/>
      </w:numPr>
    </w:pPr>
  </w:style>
  <w:style w:type="numbering" w:styleId="2172">
    <w:name w:val="Стиль132"/>
    <w:next w:val="2172"/>
    <w:link w:val="1679"/>
  </w:style>
  <w:style w:type="numbering" w:styleId="2173">
    <w:name w:val="Нет списка7"/>
    <w:next w:val="1691"/>
    <w:link w:val="1679"/>
    <w:uiPriority w:val="99"/>
    <w:semiHidden/>
    <w:unhideWhenUsed/>
  </w:style>
  <w:style w:type="numbering" w:styleId="2174">
    <w:name w:val="List 05"/>
    <w:basedOn w:val="1691"/>
    <w:next w:val="2174"/>
    <w:link w:val="1679"/>
    <w:semiHidden/>
  </w:style>
  <w:style w:type="numbering" w:styleId="2175">
    <w:name w:val="Нет списка15"/>
    <w:next w:val="1691"/>
    <w:link w:val="1679"/>
    <w:uiPriority w:val="99"/>
    <w:semiHidden/>
    <w:unhideWhenUsed/>
  </w:style>
  <w:style w:type="numbering" w:styleId="2176">
    <w:name w:val="Нет списка25"/>
    <w:next w:val="1691"/>
    <w:link w:val="1679"/>
    <w:uiPriority w:val="99"/>
    <w:semiHidden/>
    <w:unhideWhenUsed/>
  </w:style>
  <w:style w:type="numbering" w:styleId="2177">
    <w:name w:val="Нет списка8"/>
    <w:next w:val="1691"/>
    <w:link w:val="1679"/>
    <w:uiPriority w:val="99"/>
    <w:semiHidden/>
    <w:unhideWhenUsed/>
  </w:style>
  <w:style w:type="numbering" w:styleId="2178">
    <w:name w:val="List 06"/>
    <w:basedOn w:val="1691"/>
    <w:next w:val="2178"/>
    <w:link w:val="1679"/>
    <w:semiHidden/>
  </w:style>
  <w:style w:type="numbering" w:styleId="2179">
    <w:name w:val="Нет списка16"/>
    <w:next w:val="1691"/>
    <w:link w:val="1679"/>
    <w:uiPriority w:val="99"/>
    <w:semiHidden/>
    <w:unhideWhenUsed/>
  </w:style>
  <w:style w:type="numbering" w:styleId="2180">
    <w:name w:val="Нет списка26"/>
    <w:next w:val="1691"/>
    <w:link w:val="1679"/>
    <w:uiPriority w:val="99"/>
    <w:semiHidden/>
    <w:unhideWhenUsed/>
  </w:style>
  <w:style w:type="numbering" w:styleId="2181">
    <w:name w:val="Нет списка9"/>
    <w:next w:val="1691"/>
    <w:link w:val="1679"/>
    <w:uiPriority w:val="99"/>
    <w:semiHidden/>
    <w:unhideWhenUsed/>
  </w:style>
  <w:style w:type="numbering" w:styleId="2182">
    <w:name w:val="List 07"/>
    <w:basedOn w:val="1691"/>
    <w:next w:val="2182"/>
    <w:link w:val="1679"/>
    <w:semiHidden/>
  </w:style>
  <w:style w:type="numbering" w:styleId="2183">
    <w:name w:val="Нет списка17"/>
    <w:next w:val="1691"/>
    <w:link w:val="1679"/>
    <w:uiPriority w:val="99"/>
    <w:semiHidden/>
    <w:unhideWhenUsed/>
  </w:style>
  <w:style w:type="numbering" w:styleId="2184">
    <w:name w:val="Нет списка27"/>
    <w:next w:val="1691"/>
    <w:link w:val="1679"/>
    <w:uiPriority w:val="99"/>
    <w:semiHidden/>
    <w:unhideWhenUsed/>
  </w:style>
  <w:style w:type="numbering" w:styleId="2185">
    <w:name w:val="Нет списка10"/>
    <w:next w:val="1691"/>
    <w:link w:val="1679"/>
    <w:uiPriority w:val="99"/>
    <w:semiHidden/>
    <w:unhideWhenUsed/>
  </w:style>
  <w:style w:type="numbering" w:styleId="2186">
    <w:name w:val="List 08"/>
    <w:basedOn w:val="1691"/>
    <w:next w:val="2186"/>
    <w:link w:val="1679"/>
    <w:semiHidden/>
  </w:style>
  <w:style w:type="numbering" w:styleId="2187">
    <w:name w:val="Нет списка18"/>
    <w:next w:val="1691"/>
    <w:link w:val="1679"/>
    <w:uiPriority w:val="99"/>
    <w:semiHidden/>
    <w:unhideWhenUsed/>
  </w:style>
  <w:style w:type="numbering" w:styleId="2188">
    <w:name w:val="Нет списка28"/>
    <w:next w:val="1691"/>
    <w:link w:val="1679"/>
    <w:uiPriority w:val="99"/>
    <w:semiHidden/>
    <w:unhideWhenUsed/>
  </w:style>
  <w:style w:type="character" w:styleId="2189">
    <w:name w:val="fontstyle01"/>
    <w:next w:val="2189"/>
    <w:link w:val="1679"/>
    <w:rPr>
      <w:rFonts w:ascii="Times New Roman" w:hAnsi="Times New Roman" w:cs="Times New Roman"/>
      <w:b/>
      <w:bCs/>
      <w:color w:val="000000"/>
      <w:sz w:val="28"/>
      <w:szCs w:val="28"/>
    </w:rPr>
  </w:style>
  <w:style w:type="table" w:styleId="2190">
    <w:name w:val="Сетка таблицы2"/>
    <w:basedOn w:val="1690"/>
    <w:next w:val="1713"/>
    <w:link w:val="1679"/>
    <w:uiPriority w:val="59"/>
    <w:rPr>
      <w:rFonts w:eastAsia="Calibri"/>
    </w:rPr>
    <w:tblPr/>
  </w:style>
  <w:style w:type="table" w:styleId="2191">
    <w:name w:val="Сетка таблицы3"/>
    <w:basedOn w:val="1690"/>
    <w:next w:val="1713"/>
    <w:link w:val="1679"/>
    <w:uiPriority w:val="59"/>
    <w:rPr>
      <w:rFonts w:eastAsia="Calibri"/>
    </w:rPr>
    <w:tblPr/>
  </w:style>
  <w:style w:type="table" w:styleId="2192">
    <w:name w:val="Сетка таблицы4"/>
    <w:basedOn w:val="1690"/>
    <w:next w:val="1713"/>
    <w:link w:val="1679"/>
    <w:uiPriority w:val="39"/>
    <w:rPr>
      <w:rFonts w:eastAsia="Calibri"/>
    </w:rPr>
    <w:tblPr/>
  </w:style>
  <w:style w:type="table" w:styleId="2193">
    <w:name w:val="Сетка таблицы5"/>
    <w:basedOn w:val="1690"/>
    <w:next w:val="1713"/>
    <w:link w:val="1679"/>
    <w:uiPriority w:val="39"/>
    <w:rPr>
      <w:rFonts w:eastAsia="Calibri"/>
    </w:rPr>
    <w:tblPr/>
  </w:style>
  <w:style w:type="table" w:styleId="2194">
    <w:name w:val="Сетка таблицы6"/>
    <w:basedOn w:val="1690"/>
    <w:next w:val="1713"/>
    <w:link w:val="1679"/>
    <w:uiPriority w:val="39"/>
    <w:rPr>
      <w:rFonts w:eastAsia="Calibri"/>
    </w:rPr>
    <w:tblPr/>
  </w:style>
  <w:style w:type="character" w:styleId="2195" w:default="1">
    <w:name w:val="Default Paragraph Font"/>
    <w:uiPriority w:val="1"/>
    <w:semiHidden/>
    <w:unhideWhenUsed/>
  </w:style>
  <w:style w:type="numbering" w:styleId="2196" w:default="1">
    <w:name w:val="No List"/>
    <w:uiPriority w:val="99"/>
    <w:semiHidden/>
    <w:unhideWhenUsed/>
  </w:style>
  <w:style w:type="table" w:styleId="2197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footer" Target="footer1.xml" /><Relationship Id="rId11" Type="http://schemas.openxmlformats.org/officeDocument/2006/relationships/footer" Target="footer2.xml" /><Relationship Id="rId12" Type="http://schemas.openxmlformats.org/officeDocument/2006/relationships/image" Target="media/image1.wmf"/><Relationship Id="rId13" Type="http://schemas.openxmlformats.org/officeDocument/2006/relationships/image" Target="media/image2.jpg"/><Relationship Id="rId14" Type="http://schemas.openxmlformats.org/officeDocument/2006/relationships/image" Target="media/image3.jpg"/><Relationship Id="rId15" Type="http://schemas.openxmlformats.org/officeDocument/2006/relationships/image" Target="media/image4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Чужина Елена Петровна</dc:creator>
  <cp:keywords/>
  <dc:description/>
  <cp:revision>92</cp:revision>
  <dcterms:created xsi:type="dcterms:W3CDTF">2023-01-25T12:24:00Z</dcterms:created>
  <dcterms:modified xsi:type="dcterms:W3CDTF">2025-01-29T10:21:58Z</dcterms:modified>
  <cp:version>917504</cp:version>
</cp:coreProperties>
</file>