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widowControl w:val="off"/>
        <w:tabs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 2</w:t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center"/>
        <w:widowControl w:val="o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Основные виды разрешенного использования земельных участков и объектов капитального строительства, которые могут быть выбраны при реализации решения о комплексном развитии незастроенной территории </w:t>
      </w: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Ленинском</w:t>
      </w:r>
      <w:r>
        <w:rPr>
          <w:b/>
          <w:bCs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 xml:space="preserve"> (ул. </w:t>
      </w:r>
      <w:r>
        <w:rPr>
          <w:b/>
          <w:bCs/>
          <w:sz w:val="28"/>
          <w:szCs w:val="28"/>
        </w:rPr>
        <w:t xml:space="preserve">Титова</w:t>
      </w:r>
      <w:r>
        <w:rPr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  <w:t xml:space="preserve"> города Новосибирска </w:t>
      </w: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  <w:shd w:val="clear" w:color="auto" w:fill="ffffff"/>
        </w:rPr>
        <w:t xml:space="preserve">, а также предельные параметры разрешенного строительства,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реконструкции объектов капитального строительства</w:t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widowControl w:val="o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 границах незастроенной территории</w:t>
      </w:r>
      <w:r>
        <w:rPr>
          <w:b/>
          <w:sz w:val="28"/>
          <w:szCs w:val="28"/>
          <w:shd w:val="clear" w:color="auto" w:fill="ffffff"/>
        </w:rPr>
      </w:r>
    </w:p>
    <w:p>
      <w:pPr>
        <w:jc w:val="both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both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Основные виды разрешенного использования земельных участков и объектов капитального строительства:</w:t>
      </w:r>
      <w:r>
        <w:rPr>
          <w:sz w:val="28"/>
          <w:szCs w:val="28"/>
        </w:rPr>
      </w:r>
    </w:p>
    <w:p>
      <w:pPr>
        <w:jc w:val="both"/>
        <w:widowControl w:val="off"/>
        <w:rPr>
          <w:sz w:val="10"/>
          <w:szCs w:val="10"/>
          <w:shd w:val="clear" w:color="auto" w:fill="ffffff"/>
        </w:rPr>
      </w:pPr>
      <w:r>
        <w:rPr>
          <w:sz w:val="10"/>
          <w:szCs w:val="10"/>
          <w:shd w:val="clear" w:color="auto" w:fill="ffffff"/>
        </w:rPr>
      </w:r>
      <w:r>
        <w:rPr>
          <w:sz w:val="10"/>
          <w:szCs w:val="10"/>
          <w:shd w:val="clear" w:color="auto" w:fill="ffffff"/>
        </w:rPr>
      </w:r>
    </w:p>
    <w:tbl>
      <w:tblPr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971"/>
        <w:gridCol w:w="5180"/>
      </w:tblGrid>
      <w:tr>
        <w:tblPrEx/>
        <w:trPr>
          <w:jc w:val="center"/>
          <w:trHeight w:val="4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вида разрешенного использования земельного участка</w:t>
            </w:r>
            <w:r>
              <w:rPr>
                <w:sz w:val="28"/>
                <w:szCs w:val="28"/>
              </w:rPr>
            </w:r>
          </w:p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указанием кода классификатора видов разрешенного использования земельных участков, утвержденного приказом Росреестра от 10.11.2020 № П/0412 «Об утверждении классификатора видов разрешенного использования земельных участков»)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вида разрешенного использования объектов капитального строительства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Среднеэтажная</w:t>
            </w:r>
            <w:r>
              <w:rPr>
                <w:sz w:val="28"/>
                <w:szCs w:val="28"/>
              </w:rPr>
              <w:t xml:space="preserve"> жилая застройка </w:t>
            </w:r>
            <w:hyperlink r:id="rId12" w:tooltip="consultantplus://offline/ref=95C4BFA68773DF14F219046D92EC41E676DE16F2429155CFF9B1907BE1586FE4B707A8CA37C666DE3FE2B818A390560D0C19468A6F1D9592MFe6J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(2.5)</w:t>
              </w:r>
            </w:hyperlink>
            <w:r/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многоквартирных домов этажностью не выше восьми этажей; благоустройство и озеленение; размещение подземных гаражей </w:t>
            </w:r>
            <w:r>
              <w:rPr>
                <w:sz w:val="28"/>
                <w:szCs w:val="28"/>
              </w:rPr>
              <w:br/>
              <w:t xml:space="preserve">и автостоянок; обустройство спортивных </w:t>
            </w:r>
            <w:r>
              <w:rPr>
                <w:sz w:val="28"/>
                <w:szCs w:val="28"/>
              </w:rPr>
              <w:br/>
              <w:t xml:space="preserve">и детских площадок, площадок для отдыха; размещение объектов обслуживания жилой застройки </w:t>
            </w:r>
            <w:r>
              <w:rPr>
                <w:sz w:val="28"/>
                <w:szCs w:val="28"/>
              </w:rPr>
              <w:br/>
              <w:t xml:space="preserve">во встроенных, пристроенных </w:t>
            </w:r>
            <w:r>
              <w:rPr>
                <w:sz w:val="28"/>
                <w:szCs w:val="28"/>
              </w:rPr>
              <w:br/>
              <w:t xml:space="preserve">и встроенно-пристроенных помещениях </w:t>
            </w:r>
            <w:r>
              <w:rPr>
                <w:sz w:val="28"/>
                <w:szCs w:val="28"/>
              </w:rPr>
              <w:t xml:space="preserve">многоквартирного дома, если общая площадь таких помещений </w:t>
            </w:r>
            <w:r>
              <w:rPr>
                <w:sz w:val="28"/>
                <w:szCs w:val="28"/>
              </w:rPr>
              <w:br/>
              <w:t xml:space="preserve">в многоквартирном доме </w:t>
            </w:r>
            <w:r>
              <w:rPr>
                <w:sz w:val="28"/>
                <w:szCs w:val="28"/>
              </w:rPr>
              <w:br/>
              <w:t xml:space="preserve">не составляет более 20% общей площади помещений дома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Многоэтажная жилая застройка (высотная застройка) </w:t>
            </w:r>
            <w:hyperlink r:id="rId13" w:tooltip="consultantplus://offline/ref=95C4BFA68773DF14F219046D92EC41E676DE16F2429155CFF9B1907BE1586FE4B707A8CA37C667D736E2B818A390560D0C19468A6F1D9592MFe6J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(2.6)</w:t>
              </w:r>
            </w:hyperlink>
            <w:r/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</w:t>
            </w:r>
            <w:r>
              <w:rPr>
                <w:sz w:val="28"/>
                <w:szCs w:val="28"/>
              </w:rPr>
              <w:br/>
              <w:t xml:space="preserve">и пло</w:t>
            </w:r>
            <w:r>
              <w:rPr>
                <w:sz w:val="28"/>
                <w:szCs w:val="28"/>
              </w:rPr>
              <w:t xml:space="preserve">щадок для отдыха;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 дома, если площадь таких помещений </w:t>
            </w:r>
            <w:r>
              <w:rPr>
                <w:sz w:val="28"/>
                <w:szCs w:val="28"/>
              </w:rPr>
              <w:br/>
              <w:t xml:space="preserve">в многоквартирном доме не составляет более 15% от общей площади дома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коммунальных услуг (3.1.1)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зданий и сооружений,  обеспечивающих поставку воды, тепла, электричества, газа, отвод канализационных стоков, очистку </w:t>
            </w:r>
            <w:r>
              <w:rPr>
                <w:sz w:val="28"/>
                <w:szCs w:val="28"/>
              </w:rPr>
              <w:br/>
              <w:t xml:space="preserve">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</w:t>
            </w:r>
            <w:r>
              <w:rPr>
                <w:sz w:val="28"/>
                <w:szCs w:val="28"/>
              </w:rPr>
              <w:br/>
              <w:t xml:space="preserve">и мастерских для обслуживания уборочной и аварийной техники, сооружений, необходимых для сбора </w:t>
            </w:r>
            <w:r>
              <w:rPr>
                <w:sz w:val="28"/>
                <w:szCs w:val="28"/>
              </w:rPr>
              <w:br/>
              <w:t xml:space="preserve">и плавки снега)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связи (3.2.3)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зданий, предназначенных </w:t>
            </w:r>
            <w:r>
              <w:rPr>
                <w:sz w:val="28"/>
                <w:szCs w:val="28"/>
              </w:rPr>
              <w:br/>
              <w:t xml:space="preserve">для размещения пунктов оказания услуг почтовой, телеграфной, междугородней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международной телефонной связи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Бытовое обслуживание (3.3)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Здравоохранение (3.4)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гражданам медицинской помощи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Дошкольное, начальное и среднее общее образование (3.5.1)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объектов капитального строительства, предназначенных </w:t>
            </w:r>
            <w:r>
              <w:rPr>
                <w:color w:val="000000"/>
                <w:sz w:val="28"/>
                <w:szCs w:val="28"/>
              </w:rPr>
              <w:br/>
              <w:t xml:space="preserve">для просвещения, дошкольного, начального и среднего общего образования (детские ясли, детские сады, школы, лицеи, гимназии, художе</w:t>
            </w:r>
            <w:r>
              <w:rPr>
                <w:color w:val="000000"/>
                <w:sz w:val="28"/>
                <w:szCs w:val="28"/>
              </w:rPr>
              <w:t xml:space="preserve">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(территории) общего пользования (12.0)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общего пользования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территории (12.0.2)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8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декоративных, технических, планировочных, конструк</w:t>
            </w:r>
            <w:r>
              <w:rPr>
                <w:sz w:val="28"/>
                <w:szCs w:val="28"/>
              </w:rPr>
              <w:t xml:space="preserve">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>
              <w:rPr>
                <w:sz w:val="28"/>
                <w:szCs w:val="28"/>
              </w:rPr>
              <w:t xml:space="preserve">общественных туалетов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 Предельные параметры разрешенного строительства, реконструкции объектов капитального строительства в границах территории: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6098"/>
        <w:gridCol w:w="3057"/>
      </w:tblGrid>
      <w:tr>
        <w:tblPrEx/>
        <w:trPr>
          <w:jc w:val="center"/>
          <w:trHeight w:val="22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pageBreakBefore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предельного параметра разрешенного строительства, реконструкции объектов капитального строительства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</w:t>
            </w:r>
            <w:r>
              <w:rPr>
                <w:sz w:val="28"/>
                <w:szCs w:val="28"/>
              </w:rPr>
            </w:r>
          </w:p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предельного параметра разрешенного строительства, реконструкции объектов капитального строительства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Предельное количество этажей зданий, строений, сооружений, планируемых к строительству </w:t>
            </w:r>
            <w:r>
              <w:rPr>
                <w:sz w:val="28"/>
                <w:szCs w:val="28"/>
              </w:rPr>
              <w:br/>
              <w:t xml:space="preserve">в рамках комплексного развития территорий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этажей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показатель плотности застройки </w:t>
            </w:r>
            <w:r>
              <w:rPr>
                <w:sz w:val="28"/>
                <w:szCs w:val="28"/>
              </w:rPr>
              <w:br/>
              <w:t xml:space="preserve">в границах территории, в отношении которой принимается решение о её комплексном </w:t>
            </w:r>
            <w:r>
              <w:rPr>
                <w:sz w:val="28"/>
                <w:szCs w:val="28"/>
              </w:rPr>
              <w:t xml:space="preserve">развитии,  для</w:t>
            </w:r>
            <w:r>
              <w:rPr>
                <w:sz w:val="28"/>
                <w:szCs w:val="28"/>
              </w:rPr>
              <w:t xml:space="preserve"> объектов капитального строительства с видом разрешенного использования «многоквартирные </w:t>
            </w:r>
            <w:r>
              <w:rPr>
                <w:sz w:val="28"/>
                <w:szCs w:val="28"/>
              </w:rPr>
              <w:t xml:space="preserve">среднеэтажные</w:t>
            </w:r>
            <w:r>
              <w:rPr>
                <w:sz w:val="28"/>
                <w:szCs w:val="28"/>
              </w:rPr>
              <w:t xml:space="preserve"> дома», «многоквартирные многоэтажные дома»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Предельное минимальное количество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 для стоянок индивидуальных транспортных средств: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«многоквартирные </w:t>
            </w:r>
            <w:r>
              <w:rPr>
                <w:sz w:val="28"/>
                <w:szCs w:val="28"/>
              </w:rPr>
              <w:t xml:space="preserve">среднеэтажные</w:t>
            </w:r>
            <w:r>
              <w:rPr>
                <w:sz w:val="28"/>
                <w:szCs w:val="28"/>
              </w:rPr>
              <w:t xml:space="preserve"> дома», «многоквартирные многоэтажные дома»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 на 105 кв. метров площади квартир (за исключением лоджий, балконов, веранд, террас, холодных кладовых и тамбуров), но не менее 0,5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-места на 1 квартиру, из них не более 15% гостевых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9" w:type="dxa"/>
            <w:textDirection w:val="lrTb"/>
            <w:noWrap w:val="false"/>
          </w:tcPr>
          <w:p>
            <w:pPr>
              <w:pStyle w:val="7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«Размещение </w:t>
            </w:r>
            <w:r>
              <w:rPr>
                <w:sz w:val="28"/>
                <w:szCs w:val="28"/>
              </w:rPr>
              <w:t xml:space="preserve">объектов капитального строительства в целях устройства мест общественного питания (рестораны, кафе, столовые, закусочные, бары)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textDirection w:val="lrTb"/>
            <w:noWrap w:val="false"/>
          </w:tcPr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-места на 100 кв. метров общей </w:t>
            </w:r>
            <w:r>
              <w:rPr>
                <w:sz w:val="28"/>
                <w:szCs w:val="28"/>
              </w:rPr>
              <w:t xml:space="preserve">площади здания или помещения</w:t>
            </w:r>
            <w:r>
              <w:rPr>
                <w:sz w:val="28"/>
                <w:szCs w:val="28"/>
              </w:rPr>
            </w:r>
          </w:p>
          <w:p>
            <w:pPr>
              <w:pStyle w:val="7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(без учета помещений, занимаемых автостоянкой, помещений лифтовых шахт, лестничных клеток)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33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3"/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3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/>
    </w:p>
    <w:p>
      <w:pPr>
        <w:pStyle w:val="733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69721963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6">
    <w:name w:val="Heading 1"/>
    <w:basedOn w:val="705"/>
    <w:next w:val="705"/>
    <w:link w:val="888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7">
    <w:name w:val="Heading 2"/>
    <w:basedOn w:val="705"/>
    <w:next w:val="705"/>
    <w:link w:val="889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8">
    <w:name w:val="Heading 3"/>
    <w:basedOn w:val="705"/>
    <w:next w:val="705"/>
    <w:link w:val="890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09">
    <w:name w:val="Heading 4"/>
    <w:basedOn w:val="705"/>
    <w:next w:val="705"/>
    <w:link w:val="891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0">
    <w:name w:val="Heading 5"/>
    <w:basedOn w:val="705"/>
    <w:next w:val="705"/>
    <w:link w:val="892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1">
    <w:name w:val="Heading 6"/>
    <w:basedOn w:val="705"/>
    <w:next w:val="705"/>
    <w:link w:val="893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2">
    <w:name w:val="Heading 7"/>
    <w:basedOn w:val="705"/>
    <w:next w:val="705"/>
    <w:link w:val="894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3">
    <w:name w:val="Heading 8"/>
    <w:basedOn w:val="705"/>
    <w:next w:val="705"/>
    <w:link w:val="895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4">
    <w:name w:val="Heading 9"/>
    <w:basedOn w:val="705"/>
    <w:next w:val="705"/>
    <w:link w:val="896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Title Char"/>
    <w:basedOn w:val="715"/>
    <w:uiPriority w:val="10"/>
    <w:rPr>
      <w:sz w:val="48"/>
      <w:szCs w:val="48"/>
    </w:rPr>
  </w:style>
  <w:style w:type="character" w:styleId="719" w:customStyle="1">
    <w:name w:val="Subtitle Char"/>
    <w:basedOn w:val="71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Footnote Text Char"/>
    <w:uiPriority w:val="99"/>
    <w:rPr>
      <w:sz w:val="18"/>
    </w:rPr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>
    <w:name w:val="Title"/>
    <w:basedOn w:val="705"/>
    <w:next w:val="705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15"/>
    <w:link w:val="734"/>
    <w:uiPriority w:val="10"/>
    <w:rPr>
      <w:sz w:val="48"/>
      <w:szCs w:val="48"/>
    </w:rPr>
  </w:style>
  <w:style w:type="paragraph" w:styleId="736">
    <w:name w:val="Subtitle"/>
    <w:basedOn w:val="705"/>
    <w:next w:val="705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15"/>
    <w:link w:val="736"/>
    <w:uiPriority w:val="11"/>
    <w:rPr>
      <w:sz w:val="24"/>
      <w:szCs w:val="24"/>
    </w:rPr>
  </w:style>
  <w:style w:type="paragraph" w:styleId="738">
    <w:name w:val="Quote"/>
    <w:basedOn w:val="705"/>
    <w:next w:val="705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05"/>
    <w:next w:val="705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15"/>
    <w:uiPriority w:val="99"/>
  </w:style>
  <w:style w:type="character" w:styleId="743" w:customStyle="1">
    <w:name w:val="Footer Char"/>
    <w:basedOn w:val="715"/>
    <w:uiPriority w:val="99"/>
  </w:style>
  <w:style w:type="paragraph" w:styleId="744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 w:customStyle="1">
    <w:name w:val="Caption Char"/>
    <w:uiPriority w:val="99"/>
  </w:style>
  <w:style w:type="table" w:styleId="746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5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7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9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0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9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0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1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2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8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0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2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3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6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7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8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9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0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1">
    <w:name w:val="footnote text"/>
    <w:basedOn w:val="705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15"/>
    <w:uiPriority w:val="99"/>
    <w:unhideWhenUsed/>
    <w:rPr>
      <w:vertAlign w:val="superscript"/>
    </w:rPr>
  </w:style>
  <w:style w:type="paragraph" w:styleId="874">
    <w:name w:val="endnote text"/>
    <w:basedOn w:val="705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15"/>
    <w:uiPriority w:val="99"/>
    <w:semiHidden/>
    <w:unhideWhenUsed/>
    <w:rPr>
      <w:vertAlign w:val="superscript"/>
    </w:rPr>
  </w:style>
  <w:style w:type="paragraph" w:styleId="877">
    <w:name w:val="toc 1"/>
    <w:basedOn w:val="705"/>
    <w:next w:val="705"/>
    <w:uiPriority w:val="39"/>
    <w:unhideWhenUsed/>
    <w:pPr>
      <w:spacing w:after="57"/>
    </w:pPr>
  </w:style>
  <w:style w:type="paragraph" w:styleId="878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9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0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1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2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3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4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5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5"/>
    <w:next w:val="705"/>
    <w:uiPriority w:val="99"/>
    <w:unhideWhenUsed/>
  </w:style>
  <w:style w:type="character" w:styleId="888" w:customStyle="1">
    <w:name w:val="Заголовок 1 Знак"/>
    <w:basedOn w:val="715"/>
    <w:link w:val="706"/>
    <w:uiPriority w:val="99"/>
    <w:rPr>
      <w:rFonts w:ascii="Cambria" w:hAnsi="Cambria" w:cs="Times New Roman"/>
      <w:b/>
      <w:bCs/>
      <w:sz w:val="32"/>
      <w:szCs w:val="32"/>
    </w:rPr>
  </w:style>
  <w:style w:type="character" w:styleId="889" w:customStyle="1">
    <w:name w:val="Заголовок 2 Знак"/>
    <w:basedOn w:val="715"/>
    <w:link w:val="707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0" w:customStyle="1">
    <w:name w:val="Заголовок 3 Знак"/>
    <w:basedOn w:val="715"/>
    <w:link w:val="708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1" w:customStyle="1">
    <w:name w:val="Заголовок 4 Знак"/>
    <w:basedOn w:val="715"/>
    <w:link w:val="709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2" w:customStyle="1">
    <w:name w:val="Заголовок 5 Знак"/>
    <w:basedOn w:val="715"/>
    <w:link w:val="710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3" w:customStyle="1">
    <w:name w:val="Заголовок 6 Знак"/>
    <w:basedOn w:val="715"/>
    <w:link w:val="711"/>
    <w:uiPriority w:val="99"/>
    <w:semiHidden/>
    <w:rPr>
      <w:rFonts w:ascii="Calibri" w:hAnsi="Calibri" w:cs="Times New Roman"/>
      <w:b/>
      <w:bCs/>
    </w:rPr>
  </w:style>
  <w:style w:type="character" w:styleId="894" w:customStyle="1">
    <w:name w:val="Заголовок 7 Знак"/>
    <w:basedOn w:val="715"/>
    <w:link w:val="712"/>
    <w:uiPriority w:val="99"/>
    <w:semiHidden/>
    <w:rPr>
      <w:rFonts w:ascii="Calibri" w:hAnsi="Calibri" w:cs="Times New Roman"/>
      <w:sz w:val="24"/>
      <w:szCs w:val="24"/>
    </w:rPr>
  </w:style>
  <w:style w:type="character" w:styleId="895" w:customStyle="1">
    <w:name w:val="Заголовок 8 Знак"/>
    <w:basedOn w:val="715"/>
    <w:link w:val="713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6" w:customStyle="1">
    <w:name w:val="Заголовок 9 Знак"/>
    <w:basedOn w:val="715"/>
    <w:link w:val="714"/>
    <w:uiPriority w:val="99"/>
    <w:semiHidden/>
    <w:rPr>
      <w:rFonts w:ascii="Cambria" w:hAnsi="Cambria" w:cs="Times New Roman"/>
    </w:rPr>
  </w:style>
  <w:style w:type="paragraph" w:styleId="897" w:customStyle="1">
    <w:name w:val="заголовок 1"/>
    <w:basedOn w:val="705"/>
    <w:next w:val="705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8" w:customStyle="1">
    <w:name w:val="заголовок 2"/>
    <w:basedOn w:val="705"/>
    <w:next w:val="705"/>
    <w:uiPriority w:val="99"/>
    <w:pPr>
      <w:jc w:val="center"/>
      <w:keepNext/>
      <w:outlineLvl w:val="1"/>
    </w:pPr>
    <w:rPr>
      <w:sz w:val="28"/>
      <w:szCs w:val="28"/>
    </w:rPr>
  </w:style>
  <w:style w:type="character" w:styleId="899" w:customStyle="1">
    <w:name w:val="Основной шрифт"/>
    <w:uiPriority w:val="99"/>
  </w:style>
  <w:style w:type="paragraph" w:styleId="900">
    <w:name w:val="Header"/>
    <w:basedOn w:val="705"/>
    <w:link w:val="901"/>
    <w:uiPriority w:val="99"/>
    <w:pPr>
      <w:tabs>
        <w:tab w:val="center" w:pos="4153" w:leader="none"/>
        <w:tab w:val="right" w:pos="8306" w:leader="none"/>
      </w:tabs>
    </w:pPr>
  </w:style>
  <w:style w:type="character" w:styleId="901" w:customStyle="1">
    <w:name w:val="Верхний колонтитул Знак"/>
    <w:basedOn w:val="715"/>
    <w:link w:val="900"/>
    <w:uiPriority w:val="99"/>
    <w:rPr>
      <w:rFonts w:cs="Times New Roman"/>
      <w:sz w:val="20"/>
      <w:szCs w:val="20"/>
    </w:rPr>
  </w:style>
  <w:style w:type="character" w:styleId="902" w:customStyle="1">
    <w:name w:val="номер страницы"/>
    <w:basedOn w:val="899"/>
    <w:uiPriority w:val="99"/>
    <w:rPr>
      <w:rFonts w:cs="Times New Roman"/>
    </w:rPr>
  </w:style>
  <w:style w:type="paragraph" w:styleId="903">
    <w:name w:val="Body Text"/>
    <w:basedOn w:val="705"/>
    <w:link w:val="904"/>
    <w:uiPriority w:val="99"/>
    <w:pPr>
      <w:jc w:val="both"/>
    </w:pPr>
    <w:rPr>
      <w:sz w:val="28"/>
      <w:szCs w:val="28"/>
    </w:rPr>
  </w:style>
  <w:style w:type="character" w:styleId="904" w:customStyle="1">
    <w:name w:val="Основной текст Знак"/>
    <w:basedOn w:val="715"/>
    <w:link w:val="903"/>
    <w:uiPriority w:val="99"/>
    <w:semiHidden/>
    <w:rPr>
      <w:rFonts w:cs="Times New Roman"/>
      <w:sz w:val="20"/>
      <w:szCs w:val="20"/>
    </w:rPr>
  </w:style>
  <w:style w:type="paragraph" w:styleId="905">
    <w:name w:val="Body Text 2"/>
    <w:basedOn w:val="705"/>
    <w:link w:val="906"/>
    <w:uiPriority w:val="99"/>
    <w:pPr>
      <w:jc w:val="both"/>
    </w:pPr>
    <w:rPr>
      <w:sz w:val="28"/>
      <w:szCs w:val="28"/>
    </w:rPr>
  </w:style>
  <w:style w:type="character" w:styleId="906" w:customStyle="1">
    <w:name w:val="Основной текст 2 Знак"/>
    <w:basedOn w:val="715"/>
    <w:link w:val="905"/>
    <w:uiPriority w:val="99"/>
    <w:semiHidden/>
    <w:rPr>
      <w:rFonts w:cs="Times New Roman"/>
      <w:sz w:val="20"/>
      <w:szCs w:val="20"/>
    </w:rPr>
  </w:style>
  <w:style w:type="paragraph" w:styleId="907">
    <w:name w:val="Body Text Indent 2"/>
    <w:basedOn w:val="705"/>
    <w:link w:val="908"/>
    <w:uiPriority w:val="99"/>
    <w:pPr>
      <w:ind w:firstLine="709"/>
      <w:jc w:val="both"/>
    </w:pPr>
    <w:rPr>
      <w:sz w:val="28"/>
      <w:szCs w:val="28"/>
    </w:rPr>
  </w:style>
  <w:style w:type="character" w:styleId="908" w:customStyle="1">
    <w:name w:val="Основной текст с отступом 2 Знак"/>
    <w:basedOn w:val="715"/>
    <w:link w:val="907"/>
    <w:uiPriority w:val="99"/>
    <w:semiHidden/>
    <w:rPr>
      <w:rFonts w:cs="Times New Roman"/>
      <w:sz w:val="20"/>
      <w:szCs w:val="20"/>
    </w:rPr>
  </w:style>
  <w:style w:type="paragraph" w:styleId="909">
    <w:name w:val="Footer"/>
    <w:basedOn w:val="705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910" w:customStyle="1">
    <w:name w:val="Нижний колонтитул Знак"/>
    <w:basedOn w:val="715"/>
    <w:link w:val="909"/>
    <w:uiPriority w:val="99"/>
    <w:rPr>
      <w:rFonts w:cs="Times New Roman"/>
      <w:sz w:val="20"/>
      <w:szCs w:val="20"/>
    </w:rPr>
  </w:style>
  <w:style w:type="paragraph" w:styleId="911">
    <w:name w:val="Body Text Indent 3"/>
    <w:basedOn w:val="705"/>
    <w:link w:val="912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2" w:customStyle="1">
    <w:name w:val="Основной текст с отступом 3 Знак"/>
    <w:basedOn w:val="715"/>
    <w:link w:val="911"/>
    <w:uiPriority w:val="99"/>
    <w:semiHidden/>
    <w:rPr>
      <w:rFonts w:cs="Times New Roman"/>
      <w:sz w:val="16"/>
      <w:szCs w:val="16"/>
    </w:rPr>
  </w:style>
  <w:style w:type="paragraph" w:styleId="913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4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5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6">
    <w:name w:val="Table Grid"/>
    <w:basedOn w:val="716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Body Text Indent"/>
    <w:basedOn w:val="705"/>
    <w:link w:val="918"/>
    <w:uiPriority w:val="99"/>
    <w:pPr>
      <w:ind w:left="283"/>
      <w:spacing w:after="120"/>
    </w:pPr>
  </w:style>
  <w:style w:type="character" w:styleId="918" w:customStyle="1">
    <w:name w:val="Основной текст с отступом Знак"/>
    <w:basedOn w:val="715"/>
    <w:link w:val="917"/>
    <w:uiPriority w:val="99"/>
    <w:semiHidden/>
    <w:rPr>
      <w:rFonts w:cs="Times New Roman"/>
      <w:sz w:val="20"/>
      <w:szCs w:val="20"/>
    </w:rPr>
  </w:style>
  <w:style w:type="paragraph" w:styleId="919">
    <w:name w:val="Balloon Text"/>
    <w:basedOn w:val="705"/>
    <w:link w:val="920"/>
    <w:uiPriority w:val="99"/>
    <w:semiHidden/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715"/>
    <w:link w:val="919"/>
    <w:uiPriority w:val="99"/>
    <w:semiHidden/>
    <w:rPr>
      <w:rFonts w:ascii="Tahoma" w:hAnsi="Tahoma" w:cs="Tahoma"/>
      <w:sz w:val="16"/>
      <w:szCs w:val="16"/>
    </w:rPr>
  </w:style>
  <w:style w:type="character" w:styleId="921">
    <w:name w:val="page number"/>
    <w:basedOn w:val="715"/>
    <w:uiPriority w:val="99"/>
    <w:rPr>
      <w:rFonts w:cs="Times New Roman"/>
    </w:rPr>
  </w:style>
  <w:style w:type="table" w:styleId="922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3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4">
    <w:name w:val="Hyperlink"/>
    <w:basedOn w:val="715"/>
    <w:uiPriority w:val="99"/>
    <w:semiHidden/>
    <w:unhideWhenUsed/>
    <w:rPr>
      <w:rFonts w:cs="Times New Roman"/>
      <w:color w:val="0000ff"/>
      <w:u w:val="single"/>
    </w:rPr>
  </w:style>
  <w:style w:type="paragraph" w:styleId="925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6">
    <w:name w:val="List Paragraph"/>
    <w:basedOn w:val="705"/>
    <w:uiPriority w:val="34"/>
    <w:qFormat/>
    <w:pPr>
      <w:contextualSpacing/>
      <w:ind w:left="720"/>
    </w:pPr>
  </w:style>
  <w:style w:type="character" w:styleId="927">
    <w:name w:val="annotation reference"/>
    <w:basedOn w:val="715"/>
    <w:uiPriority w:val="99"/>
    <w:semiHidden/>
    <w:unhideWhenUsed/>
    <w:rPr>
      <w:sz w:val="16"/>
      <w:szCs w:val="16"/>
    </w:rPr>
  </w:style>
  <w:style w:type="paragraph" w:styleId="928">
    <w:name w:val="annotation text"/>
    <w:basedOn w:val="705"/>
    <w:link w:val="929"/>
    <w:uiPriority w:val="99"/>
    <w:semiHidden/>
    <w:unhideWhenUsed/>
  </w:style>
  <w:style w:type="character" w:styleId="929" w:customStyle="1">
    <w:name w:val="Текст примечания Знак"/>
    <w:basedOn w:val="715"/>
    <w:link w:val="928"/>
    <w:uiPriority w:val="99"/>
    <w:semiHidden/>
    <w:rPr>
      <w:sz w:val="20"/>
      <w:szCs w:val="20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b/>
      <w:bCs/>
      <w:sz w:val="20"/>
      <w:szCs w:val="20"/>
    </w:rPr>
  </w:style>
  <w:style w:type="character" w:styleId="932" w:customStyle="1">
    <w:name w:val="Подпись к картинке + 9;5 pt;Не полужирный Exact"/>
    <w:basedOn w:val="71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table" w:styleId="933" w:customStyle="1">
    <w:name w:val="Сетка таблицы2"/>
    <w:basedOn w:val="716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Подпись к картинке + 9"/>
    <w:basedOn w:val="71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95C4BFA68773DF14F219046D92EC41E676DE16F2429155CFF9B1907BE1586FE4B707A8CA37C666DE3FE2B818A390560D0C19468A6F1D9592MFe6J" TargetMode="External"/><Relationship Id="rId13" Type="http://schemas.openxmlformats.org/officeDocument/2006/relationships/hyperlink" Target="consultantplus://offline/ref=95C4BFA68773DF14F219046D92EC41E676DE16F2429155CFF9B1907BE1586FE4B707A8CA37C667D736E2B818A390560D0C19468A6F1D9592MFe6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9F5D71-2D3F-4ADC-BCB0-040C2560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102</cp:revision>
  <dcterms:created xsi:type="dcterms:W3CDTF">2023-07-03T11:50:00Z</dcterms:created>
  <dcterms:modified xsi:type="dcterms:W3CDTF">2025-11-24T09:45:09Z</dcterms:modified>
</cp:coreProperties>
</file>