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Новосибирской области от 09.09.2025 № 420-п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п о с т а н о в л я 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 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Внести в постановление Правительства Новосибирской области от 09.09.2025 № 420-п «О комплексном развитии незастроенной территории в Ленинском районе города Новосибирска Новосибирской области» следующее изменение: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в пункте 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«уменьшенной на сумму всех подлежащих уплате в связи с закл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ючением договора о комплексном развитии незастроенной территории налогов» заменить словами «уменьшенной на сумму исчисленных в связи с заключением договора о комплексном развитии незастроенной территории налога на добавленную стоимость, налога на прибыль».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Style w:val="83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3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Д.Н. Богомолов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228 64 00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>
        <w:tblPrEx/>
        <w:trPr>
          <w:trHeight w:val="705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В.М. </w:t>
            </w: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Знатков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2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Губернатора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Р.А. </w:t>
            </w: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Теленчинов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03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47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Исполняющий обязанности министра жилищно-коммунального хозяйства и энергетики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Р.Г. Вольтер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8"/>
                <w:szCs w:val="28"/>
              </w:rPr>
              <w:t xml:space="preserve">Е.Г. Назаров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Р.М. Заблоцкий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94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С.А.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Ахапов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М. 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Жафярова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природных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экологии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Е.А. Шестернин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29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А.В.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Костылевский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11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Л.Н. Решетников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51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департамента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Р.Г.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Шилохвостов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государственной инспекции по охране объектов культурного наследия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Е.В.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Макавчик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О.В.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Поскачин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228-64-02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2025-09-19T03:50:59Z</dcterms:modified>
</cp:coreProperties>
</file>