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40"/>
        <w:jc w:val="right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540"/>
        <w:jc w:val="right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540"/>
        <w:jc w:val="righ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30.12.2021 № 571-п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5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pStyle w:val="935"/>
        <w:jc w:val="both"/>
      </w:pPr>
      <w:r/>
      <w:r/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Правительство </w:t>
      </w:r>
      <w:r>
        <w:rPr>
          <w:rFonts w:ascii="Times New Roman" w:hAnsi="Times New Roman" w:eastAsia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-2" w:firstLine="708"/>
        <w:jc w:val="bot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Внести в постанов</w:t>
      </w:r>
      <w:r>
        <w:rPr>
          <w:rFonts w:ascii="Times New Roman" w:hAnsi="Times New Roman" w:eastAsia="Times New Roman" w:cs="Times New Roman"/>
          <w:sz w:val="28"/>
        </w:rPr>
        <w:t xml:space="preserve">ление Правительства Новосибирской области от 30.12.2021 № 57</w:t>
      </w:r>
      <w:r>
        <w:rPr>
          <w:rFonts w:ascii="Times New Roman" w:hAnsi="Times New Roman" w:eastAsia="Times New Roman" w:cs="Times New Roman"/>
          <w:sz w:val="28"/>
        </w:rPr>
        <w:t xml:space="preserve">1-п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eastAsia="Times New Roman" w:cs="Times New Roman"/>
          <w:sz w:val="28"/>
        </w:rPr>
        <w:t xml:space="preserve">» следующи</w:t>
      </w:r>
      <w:r>
        <w:rPr>
          <w:rFonts w:ascii="Times New Roman" w:hAnsi="Times New Roman" w:eastAsia="Times New Roman" w:cs="Times New Roman"/>
          <w:sz w:val="28"/>
        </w:rPr>
        <w:t xml:space="preserve">е изменения: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Положени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 региональном государственном контроле (надзоре) в области долевого строительства многоквартирных домов и (или) иных объектов недвижимости: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-2" w:firstLine="567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пункте 16: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2" w:firstLine="567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абзацы второй и третий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2" w:firstLine="567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2) пункт 17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объектов контроля ведется в Едином реестре видов регионального государственного контроля (надзора).»;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объектов контроля размещается на официальном сайте контрольного (надзорного) органа посредством публикации 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 официального сайта Единого реестра видов регионального государственного контроля (надзора) в сети «Интернет» для отображения соответствующего перечня объектов контроля (виджет) на официальном сайте контрольного (надзорного) органа в сети «Интернет»».»;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Решение об отнесении объектов контроля к категориям риска причинения вреда (ущерба) охраняемым законом ценностям в 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мках осуществления регионального государственного контроля (надзора)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контроля.»;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пункт 18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Министерство в течение пяти рабочих дней со дня поступления сведений о соответствии объекта контроля (надзора) согласно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критер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иям отнесения объектов регионального государственного контроля (надзора) в области долевого строительства многоквартирных домов и (или) иных объектов недвижимости к категориям риска причинения вреда (ущерба) охраняемым законом ценностям, установленными в </w:t>
      </w:r>
      <w:hyperlink r:id="rId11" w:tooltip="#Par295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auto"/>
            <w:sz w:val="28"/>
            <w:szCs w:val="28"/>
            <w:lang w:val="ru-RU" w:bidi="zh-CN"/>
          </w:rPr>
          <w:t xml:space="preserve">приложении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 к настоящему Положению (далее - Критерии)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 иной категории риска либо об изменении Критериев должно принять решение об изменении категории риска указанного объекта.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 пункт 20 признать утратившим силу;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sz w:val="28"/>
        </w:rPr>
        <w:t xml:space="preserve">пункт 31 дополнить словами «, </w:t>
      </w:r>
      <w:r>
        <w:rPr>
          <w:rFonts w:ascii="Times New Roman" w:hAnsi="Times New Roman" w:eastAsia="Times New Roman" w:cs="Times New Roman"/>
          <w:sz w:val="28"/>
        </w:rPr>
        <w:t xml:space="preserve">сроки устранения последствий, возникших в результате предполагаемого нарушения обязательных требований.»;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cs="Times New Roman"/>
          <w:color w:val="auto"/>
          <w:sz w:val="28"/>
        </w:rPr>
        <w:t xml:space="preserve">6) пункт </w:t>
      </w:r>
      <w:r>
        <w:rPr>
          <w:rFonts w:ascii="Times New Roman" w:hAnsi="Times New Roman" w:cs="Times New Roman"/>
          <w:sz w:val="28"/>
        </w:rPr>
        <w:t xml:space="preserve">47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«47. Профилактический визит проводится в соответствии со </w:t>
      </w:r>
      <w:hyperlink r:id="rId12" w:tooltip="https://login.consultant.ru/link/?req=doc&amp;base=LAW&amp;n=495001&amp;dst=100572" w:history="1">
        <w:r>
          <w:rPr>
            <w:szCs w:val="28"/>
          </w:rPr>
          <w:t xml:space="preserve">статьей 52</w:t>
        </w:r>
      </w:hyperlink>
      <w:r>
        <w:rPr>
          <w:szCs w:val="28"/>
        </w:rPr>
        <w:t xml:space="preserve"> Федерального закона.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</w:t>
      </w:r>
      <w:r>
        <w:rPr>
          <w:szCs w:val="28"/>
        </w:rPr>
        <w:t xml:space="preserve">о приложения «</w:t>
      </w:r>
      <w:r>
        <w:rPr>
          <w:szCs w:val="28"/>
        </w:rPr>
        <w:t xml:space="preserve">Инспектор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</w:t>
      </w:r>
      <w:r>
        <w:rPr>
          <w:szCs w:val="28"/>
        </w:rPr>
        <w:t xml:space="preserve"> </w:t>
      </w:r>
      <w:r>
        <w:rPr>
          <w:szCs w:val="28"/>
        </w:rPr>
        <w:t xml:space="preserve">принадлежащим ему объектам контроля</w:t>
      </w:r>
      <w:r>
        <w:rPr>
          <w:szCs w:val="28"/>
        </w:rPr>
        <w:t xml:space="preserve">, </w:t>
      </w:r>
      <w:r>
        <w:rPr>
          <w:szCs w:val="28"/>
        </w:rPr>
        <w:t xml:space="preserve">а контрольный (надзорный) орган проводит оценку уровня соблюдения контролируемым лицом обязательных требований.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color w:val="auto"/>
        </w:rPr>
      </w:pPr>
      <w:r>
        <w:rPr>
          <w:color w:val="auto"/>
          <w:szCs w:val="28"/>
        </w:rPr>
        <w:t xml:space="preserve">Профилактический визит проводится </w:t>
      </w:r>
      <w:r>
        <w:rPr>
          <w:color w:val="auto"/>
          <w:szCs w:val="28"/>
        </w:rPr>
        <w:t xml:space="preserve">по инициативе контрольного (надзорного) органа (обязательный профилактический визит) или </w:t>
      </w:r>
      <w:r>
        <w:rPr>
          <w:color w:val="auto"/>
          <w:szCs w:val="28"/>
        </w:rPr>
        <w:t xml:space="preserve">по инициативе контролируемого </w:t>
      </w:r>
      <w:r>
        <w:rPr>
          <w:color w:val="auto"/>
          <w:szCs w:val="28"/>
        </w:rPr>
        <w:t xml:space="preserve">лица</w:t>
      </w:r>
      <w:r>
        <w:rPr>
          <w:color w:val="auto"/>
          <w:szCs w:val="28"/>
        </w:rPr>
        <w:t xml:space="preserve">.</w:t>
      </w:r>
      <w:bookmarkStart w:id="0" w:name="_GoBack"/>
      <w:r>
        <w:rPr>
          <w:color w:val="auto"/>
        </w:rPr>
      </w:r>
      <w:bookmarkEnd w:id="0"/>
      <w:r>
        <w:rPr>
          <w:color w:val="auto"/>
          <w:szCs w:val="28"/>
        </w:rPr>
        <w:t xml:space="preserve">»;</w:t>
      </w:r>
      <w:r>
        <w:rPr>
          <w:color w:val="auto"/>
        </w:rPr>
      </w:r>
      <w:r>
        <w:rPr>
          <w:color w:val="auto"/>
        </w:rPr>
      </w:r>
    </w:p>
    <w:p>
      <w:pPr>
        <w:pStyle w:val="935"/>
        <w:ind w:left="0" w:right="0" w:firstLine="567"/>
        <w:jc w:val="both"/>
        <w:rPr>
          <w:color w:val="auto"/>
        </w:rPr>
      </w:pPr>
      <w:r>
        <w:rPr>
          <w:color w:val="auto"/>
          <w:szCs w:val="28"/>
          <w:highlight w:val="none"/>
        </w:rPr>
        <w:t xml:space="preserve">7) </w:t>
      </w:r>
      <w:r>
        <w:rPr>
          <w:rFonts w:ascii="Times New Roman" w:hAnsi="Times New Roman" w:cs="Times New Roman"/>
          <w:color w:val="auto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 xml:space="preserve">48 изложить в следующей редакции:</w:t>
      </w:r>
      <w:r>
        <w:rPr>
          <w:color w:val="auto"/>
        </w:rPr>
      </w:r>
      <w:r>
        <w:rPr>
          <w:color w:val="auto"/>
        </w:rPr>
      </w:r>
    </w:p>
    <w:p>
      <w:pPr>
        <w:pStyle w:val="935"/>
        <w:ind w:left="0" w:right="0" w:firstLine="567"/>
        <w:jc w:val="both"/>
        <w:rPr>
          <w:color w:val="auto"/>
          <w:highlight w:val="none"/>
        </w:rPr>
      </w:pP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«48. </w:t>
      </w:r>
      <w:r>
        <w:rPr>
          <w:color w:val="auto"/>
          <w:szCs w:val="28"/>
        </w:rPr>
        <w:t xml:space="preserve">Обязательный профилактический визит проводится в соответствии со</w:t>
      </w:r>
      <w:r>
        <w:rPr>
          <w:color w:val="auto"/>
          <w:szCs w:val="28"/>
        </w:rPr>
        <w:t xml:space="preserve"> </w:t>
      </w:r>
      <w:hyperlink r:id="rId13" w:tooltip="https://login.consultant.ru/link/?req=doc&amp;base=LAW&amp;n=495001&amp;dst=100572" w:history="1">
        <w:r>
          <w:rPr>
            <w:color w:val="auto"/>
            <w:szCs w:val="28"/>
          </w:rPr>
          <w:t xml:space="preserve">статьей 52</w:t>
        </w:r>
      </w:hyperlink>
      <w:r>
        <w:rPr>
          <w:color w:val="auto"/>
          <w:szCs w:val="28"/>
        </w:rPr>
        <w:t xml:space="preserve">.1 Федерального закона № 248-ФЗ.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Обязательный профилактический визит проводится: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14" w:tooltip="https://www.consultant.ru/document/cons_doc_LAW_495001/28252c3a766a205d79290647b65eb73689828842/#dst101328" w:history="1">
        <w:r>
          <w:rPr>
            <w:rStyle w:val="94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частью 2 статьи 25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№ 248-ФЗ;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по поручению: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Президента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государственной власти субъектов Российской Федерации).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left="0" w:right="0"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Обязательный профилактический визит не предусматривает отказ контроли</w:t>
      </w:r>
      <w:r>
        <w:rPr>
          <w:color w:val="auto"/>
          <w:szCs w:val="28"/>
        </w:rPr>
        <w:t xml:space="preserve">руемого лица от его проведения.</w:t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935"/>
        <w:ind w:left="0" w:right="0" w:firstLine="567"/>
        <w:jc w:val="both"/>
        <w:spacing w:before="0" w:beforeAutospacing="0"/>
        <w:rPr>
          <w:color w:val="auto"/>
          <w:szCs w:val="28"/>
        </w:rPr>
      </w:pPr>
      <w:r>
        <w:rPr>
          <w:color w:val="auto"/>
          <w:szCs w:val="28"/>
        </w:rPr>
        <w:t xml:space="preserve">В рамках обязательного профилактического визита контрольный (надзорный) орган при необходимости проводит истребование необходимых документов.</w:t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Срок проведения обязательного профилактического визита не может превышать десять рабочих дней.</w:t>
      </w:r>
      <w:r>
        <w:rPr>
          <w:rFonts w:ascii="Times New Roman" w:hAnsi="Times New Roman" w:eastAsia="Times New Roman" w:cs="Times New Roman"/>
          <w:b w:val="0"/>
          <w:i/>
          <w:iCs/>
          <w:strike w:val="0"/>
          <w:color w:val="000000" w:themeColor="text1"/>
          <w:sz w:val="28"/>
          <w:szCs w:val="28"/>
        </w:rPr>
        <w:t xml:space="preserve"> Профилактический визит проводится в течение одного рабочего дня в присутствии контролируемого лица либо его представителя.</w:t>
      </w:r>
      <w:r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r>
    </w:p>
    <w:p>
      <w:pPr>
        <w:pStyle w:val="935"/>
        <w:ind w:left="0" w:right="0" w:firstLine="567"/>
        <w:jc w:val="both"/>
        <w:spacing w:before="0" w:beforeAutospacing="0"/>
        <w:rPr>
          <w:color w:val="auto"/>
          <w:szCs w:val="28"/>
        </w:rPr>
      </w:pPr>
      <w:r>
        <w:rPr>
          <w:color w:val="auto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ного профилактического визита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порядке, предусмотренном статьей 90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Федерального закона № 248-ФЗ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для </w:t>
      </w:r>
      <w:r>
        <w:rPr>
          <w:color w:val="auto"/>
          <w:szCs w:val="28"/>
        </w:rPr>
        <w:t xml:space="preserve">контрольных (надзорных) мероприятий.</w:t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935"/>
        <w:ind w:left="0" w:right="0" w:firstLine="567"/>
        <w:jc w:val="both"/>
        <w:rPr>
          <w:color w:val="auto"/>
          <w:highlight w:val="none"/>
        </w:rPr>
      </w:pPr>
      <w:r>
        <w:rPr>
          <w:color w:val="auto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</w:t>
      </w:r>
      <w:r>
        <w:rPr>
          <w:color w:val="auto"/>
          <w:szCs w:val="28"/>
        </w:rPr>
        <w:t xml:space="preserve"> </w:t>
      </w:r>
      <w:r>
        <w:rPr>
          <w:color w:val="auto"/>
          <w:szCs w:val="28"/>
        </w:rPr>
        <w:t xml:space="preserve">устранены до окончания проведения обязательного профилактического визита в порядке, предусмотренном </w:t>
      </w:r>
      <w:hyperlink r:id="rId15" w:tooltip="https://login.consultant.ru/link/?req=doc&amp;base=PRJ&amp;n=255110&amp;dst=100256&amp;field=134&amp;date=25.12.2024" w:history="1">
        <w:r>
          <w:rPr>
            <w:color w:val="auto"/>
            <w:szCs w:val="28"/>
          </w:rPr>
          <w:t xml:space="preserve">статьей 90.1</w:t>
        </w:r>
      </w:hyperlink>
      <w:r>
        <w:rPr>
          <w:color w:val="auto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Федерального закона № 248-ФЗ</w:t>
      </w:r>
      <w:r>
        <w:rPr>
          <w:color w:val="auto"/>
          <w:szCs w:val="28"/>
        </w:rPr>
        <w:t xml:space="preserve">.»;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935"/>
        <w:ind w:left="0" w:right="0" w:firstLine="567"/>
        <w:jc w:val="both"/>
        <w:rPr>
          <w:color w:val="auto"/>
        </w:rPr>
      </w:pPr>
      <w:r>
        <w:rPr>
          <w:color w:val="auto"/>
          <w:szCs w:val="28"/>
          <w:highlight w:val="none"/>
        </w:rPr>
        <w:t xml:space="preserve">8) </w:t>
      </w:r>
      <w:r>
        <w:rPr>
          <w:rFonts w:ascii="Times New Roman" w:hAnsi="Times New Roman" w:cs="Times New Roman"/>
          <w:color w:val="auto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 xml:space="preserve">49 изложить в следующей редакции:</w:t>
      </w:r>
      <w:r>
        <w:rPr>
          <w:color w:val="auto"/>
        </w:rPr>
      </w:r>
      <w:r>
        <w:rPr>
          <w:color w:val="auto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«49.</w:t>
      </w:r>
      <w:r>
        <w:rPr>
          <w:szCs w:val="28"/>
        </w:rPr>
        <w:t xml:space="preserve"> Профилактический визит по инициативе контролируемого лица проводится в соответствии со статьей 52.2 Федерального закона</w:t>
      </w:r>
      <w:r>
        <w:rPr>
          <w:szCs w:val="28"/>
        </w:rPr>
        <w:t xml:space="preserve"> № 248-ФЗ.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Профилактический виз</w:t>
      </w:r>
      <w:r>
        <w:rPr>
          <w:szCs w:val="28"/>
        </w:rPr>
        <w:t xml:space="preserve">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Контролируемое лицо подает заявление о проведении профилактического </w:t>
      </w:r>
      <w:r>
        <w:rPr>
          <w:szCs w:val="28"/>
        </w:rPr>
        <w:t xml:space="preserve">визита (далее – заявление) посредством</w:t>
      </w:r>
      <w:r>
        <w:rPr>
          <w:szCs w:val="28"/>
        </w:rPr>
        <w:t xml:space="preserve"> </w:t>
      </w:r>
      <w:r>
        <w:rPr>
          <w:szCs w:val="28"/>
        </w:rPr>
        <w:t xml:space="preserve">ЕПГУ</w:t>
      </w:r>
      <w:r>
        <w:rPr>
          <w:szCs w:val="28"/>
        </w:rPr>
        <w:t xml:space="preserve"> или регионального портала государственных и муниципальных услуг. Контрольный (надзорный) орган рассматривает заявление в</w:t>
      </w:r>
      <w:r>
        <w:rPr>
          <w:szCs w:val="28"/>
        </w:rPr>
        <w:t xml:space="preserve"> </w:t>
      </w:r>
      <w:r>
        <w:rPr>
          <w:szCs w:val="28"/>
        </w:rPr>
        <w:t xml:space="preserve">течение десяти рабочих дней и принимает решение о</w:t>
      </w:r>
      <w:r>
        <w:rPr>
          <w:szCs w:val="28"/>
        </w:rPr>
        <w:t xml:space="preserve"> </w:t>
      </w:r>
      <w:r>
        <w:rPr>
          <w:szCs w:val="28"/>
        </w:rPr>
        <w:t xml:space="preserve">проведении профилактического визита либо об отказе в его проведении, о чем уведомляет контролируемое лицо.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Cs w:val="28"/>
        </w:rPr>
        <w:t xml:space="preserve">В случае принятия решения о проведении профилактического визита </w:t>
      </w:r>
      <w:r>
        <w:rPr>
          <w:szCs w:val="28"/>
        </w:rPr>
        <w:t xml:space="preserve">контрольный (надзорный) орган в течение двадцати рабочих дней согласовывает дату его проведения с</w:t>
      </w:r>
      <w:r>
        <w:rPr>
          <w:szCs w:val="28"/>
        </w:rPr>
        <w:t xml:space="preserve"> </w:t>
      </w:r>
      <w:r>
        <w:rPr>
          <w:szCs w:val="28"/>
        </w:rPr>
        <w:t xml:space="preserve">контролируемым лицом любым способом, обеспечивающим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ксирование такого согласования.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Профилактический визит проводится в течение одного рабочего дня в присутствии контролируемого лица либо его представителя.</w:t>
      </w:r>
      <w:r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r>
    </w:p>
    <w:p>
      <w:pPr>
        <w:pStyle w:val="935"/>
        <w:ind w:left="0" w:right="0" w:firstLine="567"/>
        <w:jc w:val="both"/>
        <w:spacing w:before="0" w:beforeAutospacing="0"/>
        <w:rPr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Контролируемое</w:t>
      </w:r>
      <w:r>
        <w:rPr>
          <w:szCs w:val="28"/>
        </w:rPr>
        <w:t xml:space="preserve"> лицо вправе отозвать заявление либо направить отказ от проведения профилактического визита, уведомив об этом </w:t>
      </w:r>
      <w:r>
        <w:rPr>
          <w:szCs w:val="28"/>
        </w:rPr>
        <w:t xml:space="preserve">контрольный (надзорный) орган не</w:t>
      </w:r>
      <w:r>
        <w:rPr>
          <w:szCs w:val="28"/>
        </w:rPr>
        <w:t xml:space="preserve"> </w:t>
      </w:r>
      <w:r>
        <w:rPr>
          <w:szCs w:val="28"/>
        </w:rPr>
        <w:t xml:space="preserve">позднее</w:t>
      </w:r>
      <w:r>
        <w:rPr>
          <w:szCs w:val="28"/>
        </w:rPr>
        <w:t xml:space="preserve"> чем за пять рабочих дней до даты его проведения.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Разъяснения и рекомендации, полученные контролируемым лицом в</w:t>
      </w:r>
      <w:r>
        <w:rPr>
          <w:szCs w:val="28"/>
        </w:rPr>
        <w:t xml:space="preserve"> </w:t>
      </w:r>
      <w:r>
        <w:rPr>
          <w:szCs w:val="28"/>
        </w:rPr>
        <w:t xml:space="preserve">ходе профилактического визита, носят рекомендательный характер.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выдаваться не могут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highlight w:val="none"/>
        </w:rPr>
      </w:pPr>
      <w:r>
        <w:rPr>
          <w:szCs w:val="28"/>
        </w:rPr>
        <w:t xml:space="preserve">В случае</w:t>
      </w:r>
      <w:r>
        <w:rPr>
          <w:szCs w:val="28"/>
        </w:rPr>
        <w:t xml:space="preserve">,</w:t>
      </w:r>
      <w:r>
        <w:rPr>
          <w:szCs w:val="28"/>
        </w:rPr>
        <w:t xml:space="preserve"> если</w:t>
      </w:r>
      <w:r>
        <w:rPr>
          <w:szCs w:val="28"/>
        </w:rPr>
        <w:t xml:space="preserve">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</w:t>
      </w:r>
      <w:r>
        <w:rPr>
          <w:szCs w:val="28"/>
        </w:rPr>
        <w:t xml:space="preserve"> </w:t>
      </w:r>
      <w:r>
        <w:rPr>
          <w:szCs w:val="28"/>
        </w:rPr>
        <w:t xml:space="preserve">этом незамедлительно направляется уполномоченному должностному лицу </w:t>
      </w:r>
      <w:r>
        <w:rPr>
          <w:szCs w:val="28"/>
        </w:rPr>
        <w:t xml:space="preserve">контрольного (надзорного) органа для принятия решения о проведении контрольных (надзорных) мероприятий.</w:t>
      </w:r>
      <w:r>
        <w:rPr>
          <w:szCs w:val="28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35"/>
        <w:ind w:left="0" w:right="0" w:firstLine="567"/>
        <w:jc w:val="both"/>
        <w:spacing w:before="0" w:beforeAutospacing="0" w:line="240" w:lineRule="auto"/>
        <w:rPr>
          <w:rFonts w:ascii="Times New Roman" w:hAnsi="Times New Roman" w:cs="Times New Roman"/>
          <w:color w:val="auto"/>
        </w:rPr>
      </w:pPr>
      <w:r>
        <w:rPr>
          <w:highlight w:val="none"/>
        </w:rPr>
        <w:t xml:space="preserve">9) </w:t>
      </w:r>
      <w:r>
        <w:rPr>
          <w:rFonts w:ascii="Times New Roman" w:hAnsi="Times New Roman" w:cs="Times New Roman"/>
          <w:color w:val="auto"/>
          <w:sz w:val="28"/>
        </w:rPr>
        <w:t xml:space="preserve">пунк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50 изложить в следующей редакции: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«50.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Региональный государственный контроль осуществляется посредством проведения следующих внеплановых ко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нтрольных (надзорных) мероприятий: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1) внеплановая документарная проверка;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2) наблюдение за соблюдением обязательных требований (мониторинг безопасности), осуществляемое без взаимодействия с контролируемыми лицами, при размещении контролируемыми лицами в ЕИСЖС информации, предусмотренной Федеральным </w:t>
      </w:r>
      <w:hyperlink r:id="rId16" w:tooltip="https://login.consultant.ru/link/?req=doc&amp;base=LAW&amp;n=49445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№ 214-ФЗ и иными нормативными правовыми актами в области долевого строительства многоквартирных домов и (или) иных объектов недвижимости.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Основанием для проведения контрольных (надзорных) мероприятий, за исключением случаев, указанных в </w:t>
      </w:r>
      <w:hyperlink r:id="rId17" w:tooltip="https://login.consultant.ru/link/?req=doc&amp;base=LAW&amp;n=495001&amp;dst=10064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части 2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Федерального закона № 248-ФЗ, может быть: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ой власти субъектов Российской Федерации) о проведении контрольных (надзорных) мероприятий в отношении конкретных контролируемых лиц;</w:t>
      </w:r>
      <w:r>
        <w:rPr>
          <w:rFonts w:ascii="Times New Roman" w:hAnsi="Times New Roman" w:cs="Times New Roman"/>
          <w:b w:val="0"/>
          <w:i w:val="0"/>
          <w:strike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/>
          <w:sz w:val="28"/>
          <w:szCs w:val="28"/>
        </w:rPr>
      </w:r>
    </w:p>
    <w:p>
      <w:pPr>
        <w:ind w:left="120" w:right="120" w:firstLine="447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20" w:right="120" w:firstLine="447"/>
        <w:jc w:val="both"/>
        <w:spacing w:before="0" w:beforeAutospacing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истечени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 срока исполнения решения контрольного (надзорного) органа об устранении выявленного нарушения обязательных требований - в случаях, установленных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 </w:t>
      </w:r>
      <w:hyperlink r:id="rId18" w:tooltip="https://www.consultant.ru/document/cons_doc_LAW_495001/7c4d9b914ce7cc9d3c847bba5f7bf1de34033941/#dst101038" w:history="1">
        <w:r>
          <w:rPr>
            <w:rStyle w:val="940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частью 1 статьи 95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Федерального закона № 248-ФЗ;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120" w:right="120" w:firstLine="447"/>
        <w:jc w:val="both"/>
        <w:spacing w:before="0" w:beforeAutospacing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120" w:right="120" w:firstLine="447"/>
        <w:jc w:val="both"/>
        <w:spacing w:before="0" w:beforeAutospacing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д) уклонение контролируемого лица от проведения обязательного профилактич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еского визита.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Контрольны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е (надзорные) мероприятия без взаимодействия проводятся по основаниям, предусмотренным </w:t>
      </w:r>
      <w:hyperlink r:id="rId19" w:tooltip="https://login.consultant.ru/link/?req=doc&amp;base=LAW&amp;n=495001&amp;dst=10064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частью 2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Федерального закона №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8"/>
          <w:szCs w:val="28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none"/>
        </w:rPr>
        <w:t xml:space="preserve">10)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абзац 10 пункта 50 признать утратившим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илу;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t xml:space="preserve">11)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пункте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54 слова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 не требует согласования с органами прокуратуры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исключ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</w:p>
    <w:p>
      <w:pPr>
        <w:pStyle w:val="935"/>
        <w:ind w:left="119" w:right="119" w:firstLine="448"/>
        <w:jc w:val="both"/>
        <w:spacing w:before="0" w:beforeAutospacing="0" w:line="240" w:lineRule="auto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61 изложить в следующей редакции: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935"/>
        <w:ind w:left="119" w:right="119" w:firstLine="44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«61.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none"/>
        </w:rPr>
        <w:t xml:space="preserve">13)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абзац 2 пункта 77 признать утратившим силу;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none"/>
        </w:rPr>
        <w:t xml:space="preserve">14)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пунктом 77.1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none"/>
        </w:rPr>
        <w:t xml:space="preserve">«77.1. С контролируемым лицом, в отношении которого выявлены нарушения обязательных требований, может быть заключено соглашение о надлежащем устранении нарушений обаятельных требований в порядке, предусмотренном ста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none"/>
        </w:rPr>
        <w:t xml:space="preserve">тьей 90.2 Федерального закона № 248-ФЗ.»;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none"/>
        </w:rPr>
        <w:t xml:space="preserve">15)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дополнить пунктом 78.1 следующего содержания: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shd w:val="clear" w:color="ffffff" w:fill="ffffff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«78.1.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решений о проведении контрольных (надзорных) мероприятий и обязательных профилактических визитов;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 актов контрольных (надзорных) мероприятий и обязательных профилактических визитов, предписаний об устранении выявленных нарушений;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3) 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shd w:val="clear" w:color="ffffff" w:fill="ffffff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4) решений об отнесении объектов контроля к соответствующей категории риска;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shd w:val="clear" w:color="ffffff" w:fill="ffffff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5) решений об отказе в проведении обязательных профилактических визитов по заявлениям контролируемых лиц;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6) 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руемых лиц или объектов контроля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.».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Ключевые показатели и их целевые значения, индикативные показатели регионального государственного контроля (надзора) в области долевого строительства многоквартирных домов и (или) иных объектов недвижимости изложить в редакции согласно приложению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 настоящему постановлению.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35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000000"/>
          <w:sz w:val="16"/>
          <w:szCs w:val="16"/>
          <w:highlight w:val="none"/>
        </w:rPr>
      </w:pPr>
      <w:r>
        <w:rPr>
          <w:rFonts w:ascii="Arial" w:hAnsi="Arial" w:eastAsia="Arial" w:cs="Arial"/>
          <w:b w:val="0"/>
          <w:i w:val="0"/>
          <w:strike w:val="0"/>
          <w:color w:val="000000"/>
          <w:sz w:val="16"/>
          <w:highlight w:val="none"/>
        </w:rPr>
      </w:r>
      <w:r>
        <w:rPr>
          <w:rFonts w:ascii="Arial" w:hAnsi="Arial" w:eastAsia="Arial" w:cs="Arial"/>
          <w:b w:val="0"/>
          <w:bCs w:val="0"/>
          <w:i w:val="0"/>
          <w:strike w:val="0"/>
          <w:color w:val="000000"/>
          <w:sz w:val="16"/>
          <w:szCs w:val="16"/>
          <w:highlight w:val="none"/>
        </w:rPr>
      </w:r>
      <w:r>
        <w:rPr>
          <w:rFonts w:ascii="Arial" w:hAnsi="Arial" w:eastAsia="Arial" w:cs="Arial"/>
          <w:b w:val="0"/>
          <w:bCs w:val="0"/>
          <w:i w:val="0"/>
          <w:strike w:val="0"/>
          <w:color w:val="000000"/>
          <w:sz w:val="16"/>
          <w:szCs w:val="16"/>
          <w:highlight w:val="none"/>
        </w:rPr>
      </w:r>
    </w:p>
    <w:p>
      <w:pPr>
        <w:pStyle w:val="935"/>
        <w:ind w:left="0" w:right="0" w:firstLine="567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pStyle w:val="935"/>
        <w:ind w:firstLine="708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35"/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35"/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35"/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35"/>
        <w:jc w:val="both"/>
      </w:pPr>
      <w:r>
        <w:t xml:space="preserve">Губернатор</w:t>
      </w:r>
      <w:r>
        <w:t xml:space="preserve"> </w:t>
      </w:r>
      <w:r>
        <w:t xml:space="preserve">Новосибирской</w:t>
      </w:r>
      <w:r>
        <w:t xml:space="preserve"> </w:t>
      </w:r>
      <w:r>
        <w:t xml:space="preserve">области                                      </w:t>
      </w:r>
      <w:r>
        <w:t xml:space="preserve">  </w:t>
      </w:r>
      <w:r>
        <w:t xml:space="preserve">      </w:t>
      </w:r>
      <w:r>
        <w:t xml:space="preserve">  </w:t>
      </w:r>
      <w:r>
        <w:t xml:space="preserve">  </w:t>
      </w:r>
      <w:r>
        <w:t xml:space="preserve"> </w:t>
      </w:r>
      <w:r>
        <w:t xml:space="preserve"> А.А. Травников</w:t>
      </w:r>
      <w:r/>
    </w:p>
    <w:p>
      <w:pPr>
        <w:ind w:left="0" w:right="0"/>
        <w:jc w:val="center"/>
        <w:spacing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Style w:val="935"/>
        <w:rPr>
          <w:sz w:val="20"/>
          <w:szCs w:val="20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</w:rPr>
        <w:t xml:space="preserve">Д.Н. Богомолов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</w:rPr>
        <w:outlineLvl w:val="0"/>
      </w:pPr>
      <w:r>
        <w:rPr>
          <w:sz w:val="20"/>
        </w:rPr>
        <w:t xml:space="preserve">228</w:t>
      </w:r>
      <w:r>
        <w:rPr>
          <w:sz w:val="20"/>
        </w:rPr>
        <w:t xml:space="preserve"> </w:t>
      </w:r>
      <w:r>
        <w:rPr>
          <w:sz w:val="20"/>
        </w:rPr>
        <w:t xml:space="preserve">64 </w:t>
      </w:r>
      <w:r>
        <w:rPr>
          <w:sz w:val="20"/>
        </w:rPr>
        <w:t xml:space="preserve">00 </w:t>
      </w:r>
      <w:r>
        <w:rPr>
          <w:sz w:val="20"/>
        </w:rPr>
      </w:r>
      <w:r>
        <w:rPr>
          <w:sz w:val="20"/>
        </w:rPr>
      </w:r>
    </w:p>
    <w:p>
      <w:pPr>
        <w:ind w:left="0" w:right="-99"/>
        <w:spacing w:line="240" w:lineRule="auto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СОГЛАСОВАНО</w:t>
      </w: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  <w:szCs w:val="20"/>
        </w:rPr>
      </w:r>
    </w:p>
    <w:p>
      <w:pPr>
        <w:ind w:left="0" w:right="-99"/>
        <w:spacing w:line="240" w:lineRule="auto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  <w:szCs w:val="20"/>
        </w:rPr>
      </w:r>
    </w:p>
    <w:p>
      <w:pPr>
        <w:ind w:left="0" w:right="-99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tbl>
      <w:tblPr>
        <w:tblStyle w:val="924"/>
        <w:tblW w:w="9923" w:type="dxa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070"/>
        <w:gridCol w:w="4853"/>
      </w:tblGrid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Теленчинов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Д.Н. Богомолов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правового         обеспечения министерства строительства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Вольтер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 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0" w:right="-9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35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38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Serif">
    <w:panose1 w:val="020206030504050203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160" w:hanging="180"/>
      </w:pPr>
      <w:rPr>
        <w:rFonts w:hint="default" w:ascii="Times New Roman" w:hAnsi="Times New Roman"/>
        <w:b w:val="0"/>
        <w:i w:val="0"/>
        <w:caps w:val="0"/>
        <w:strike w:val="0"/>
        <w:color w:val="auto"/>
        <w:sz w:val="28"/>
        <w:szCs w:val="32"/>
        <w:u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2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9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1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hint="default" w:ascii="Times New Roman" w:hAnsi="Times New Roman" w:cs="Times New Roman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2487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4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34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22">
    <w:multiLevelType w:val="hybridMultilevel"/>
    <w:lvl w:ilvl="0">
      <w:start w:val="2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24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2487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4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346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30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Theme="minorHAns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2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  <w:num w:numId="35">
    <w:abstractNumId w:val="33"/>
  </w:num>
  <w:num w:numId="36">
    <w:abstractNumId w:val="3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-567" w:right="-284" w:firstLine="0"/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>
    <w:name w:val="Heading 1"/>
    <w:basedOn w:val="915"/>
    <w:next w:val="915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4">
    <w:name w:val="Heading 1 Char"/>
    <w:basedOn w:val="916"/>
    <w:link w:val="743"/>
    <w:uiPriority w:val="9"/>
    <w:rPr>
      <w:rFonts w:ascii="Arial" w:hAnsi="Arial" w:eastAsia="Arial" w:cs="Arial"/>
      <w:sz w:val="40"/>
      <w:szCs w:val="40"/>
    </w:rPr>
  </w:style>
  <w:style w:type="paragraph" w:styleId="745">
    <w:name w:val="Heading 2"/>
    <w:basedOn w:val="915"/>
    <w:next w:val="915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6">
    <w:name w:val="Heading 2 Char"/>
    <w:basedOn w:val="916"/>
    <w:link w:val="745"/>
    <w:uiPriority w:val="9"/>
    <w:rPr>
      <w:rFonts w:ascii="Arial" w:hAnsi="Arial" w:eastAsia="Arial" w:cs="Arial"/>
      <w:sz w:val="34"/>
    </w:rPr>
  </w:style>
  <w:style w:type="paragraph" w:styleId="747">
    <w:name w:val="Heading 3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8">
    <w:name w:val="Heading 3 Char"/>
    <w:basedOn w:val="916"/>
    <w:link w:val="747"/>
    <w:uiPriority w:val="9"/>
    <w:rPr>
      <w:rFonts w:ascii="Arial" w:hAnsi="Arial" w:eastAsia="Arial" w:cs="Arial"/>
      <w:sz w:val="30"/>
      <w:szCs w:val="30"/>
    </w:rPr>
  </w:style>
  <w:style w:type="paragraph" w:styleId="749">
    <w:name w:val="Heading 4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916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6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6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5"/>
    <w:next w:val="915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6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5"/>
    <w:next w:val="915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6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5"/>
    <w:next w:val="915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6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915"/>
    <w:next w:val="915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6"/>
    <w:link w:val="761"/>
    <w:uiPriority w:val="10"/>
    <w:rPr>
      <w:sz w:val="48"/>
      <w:szCs w:val="48"/>
    </w:rPr>
  </w:style>
  <w:style w:type="paragraph" w:styleId="763">
    <w:name w:val="Subtitle"/>
    <w:basedOn w:val="915"/>
    <w:next w:val="915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6"/>
    <w:link w:val="763"/>
    <w:uiPriority w:val="11"/>
    <w:rPr>
      <w:sz w:val="24"/>
      <w:szCs w:val="24"/>
    </w:rPr>
  </w:style>
  <w:style w:type="paragraph" w:styleId="765">
    <w:name w:val="Quote"/>
    <w:basedOn w:val="915"/>
    <w:next w:val="915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5"/>
    <w:next w:val="915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6"/>
    <w:link w:val="936"/>
    <w:uiPriority w:val="99"/>
  </w:style>
  <w:style w:type="character" w:styleId="770">
    <w:name w:val="Footer Char"/>
    <w:basedOn w:val="916"/>
    <w:link w:val="938"/>
    <w:uiPriority w:val="99"/>
  </w:style>
  <w:style w:type="paragraph" w:styleId="771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38"/>
    <w:uiPriority w:val="99"/>
  </w:style>
  <w:style w:type="table" w:styleId="773">
    <w:name w:val="Table Grid Light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2">
    <w:name w:val="List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3">
    <w:name w:val="List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4">
    <w:name w:val="List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5">
    <w:name w:val="List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6">
    <w:name w:val="List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7">
    <w:name w:val="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9">
    <w:name w:val="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0">
    <w:name w:val="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1">
    <w:name w:val="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2">
    <w:name w:val="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3">
    <w:name w:val="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4">
    <w:name w:val="Bordered &amp; 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6">
    <w:name w:val="Bordered &amp; 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7">
    <w:name w:val="Bordered &amp; 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8">
    <w:name w:val="Bordered &amp; 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9">
    <w:name w:val="Bordered &amp; 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0">
    <w:name w:val="Bordered &amp; 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1">
    <w:name w:val="Bordered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16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6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qFormat/>
  </w:style>
  <w:style w:type="character" w:styleId="916" w:default="1">
    <w:name w:val="Default Paragraph Font"/>
    <w:uiPriority w:val="1"/>
    <w:semiHidden/>
    <w:unhideWhenUsed/>
  </w:style>
  <w:style w:type="table" w:styleId="9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8" w:default="1">
    <w:name w:val="No List"/>
    <w:uiPriority w:val="99"/>
    <w:semiHidden/>
    <w:unhideWhenUsed/>
  </w:style>
  <w:style w:type="paragraph" w:styleId="919" w:customStyle="1">
    <w:name w:val="Абзац списка1"/>
    <w:basedOn w:val="915"/>
    <w:uiPriority w:val="34"/>
    <w:qFormat/>
    <w:pPr>
      <w:contextualSpacing/>
      <w:ind w:left="720" w:right="0"/>
      <w:spacing w:after="160" w:line="252" w:lineRule="auto"/>
    </w:pPr>
    <w:rPr>
      <w:rFonts w:ascii="Calibri" w:hAnsi="Calibri" w:cs="Calibri"/>
    </w:rPr>
  </w:style>
  <w:style w:type="paragraph" w:styleId="920" w:customStyle="1">
    <w:name w:val="Без интервала2"/>
    <w:basedOn w:val="915"/>
    <w:uiPriority w:val="1"/>
    <w:pPr>
      <w:ind w:left="0" w:right="0"/>
      <w:spacing w:line="240" w:lineRule="auto"/>
    </w:pPr>
    <w:rPr>
      <w:rFonts w:ascii="Calibri" w:hAnsi="Calibri" w:cs="Calibri"/>
      <w:lang w:eastAsia="ru-RU"/>
    </w:rPr>
  </w:style>
  <w:style w:type="paragraph" w:styleId="921">
    <w:name w:val="List Paragraph"/>
    <w:basedOn w:val="915"/>
    <w:uiPriority w:val="34"/>
    <w:qFormat/>
    <w:pPr>
      <w:contextualSpacing/>
      <w:ind w:left="720" w:right="0"/>
      <w:spacing w:after="160"/>
    </w:pPr>
  </w:style>
  <w:style w:type="paragraph" w:styleId="922">
    <w:name w:val="No Spacing"/>
    <w:uiPriority w:val="1"/>
    <w:qFormat/>
    <w:pPr>
      <w:ind w:left="0" w:right="0"/>
      <w:spacing w:line="240" w:lineRule="auto"/>
    </w:pPr>
    <w:rPr>
      <w:rFonts w:eastAsiaTheme="minorEastAsia"/>
      <w:lang w:eastAsia="ru-RU"/>
    </w:rPr>
  </w:style>
  <w:style w:type="paragraph" w:styleId="923" w:customStyle="1">
    <w:name w:val=".FORMATTEXT"/>
    <w:uiPriority w:val="99"/>
    <w:qFormat/>
    <w:pPr>
      <w:ind w:left="0" w:right="0"/>
      <w:spacing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24">
    <w:name w:val="Table Grid"/>
    <w:basedOn w:val="917"/>
    <w:uiPriority w:val="39"/>
    <w:qFormat/>
    <w:pPr>
      <w:ind w:left="0" w:right="0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 w:customStyle="1">
    <w:name w:val="Абзац списка2"/>
    <w:basedOn w:val="915"/>
    <w:uiPriority w:val="34"/>
    <w:qFormat/>
    <w:pPr>
      <w:contextualSpacing/>
      <w:ind w:left="720" w:right="0"/>
      <w:spacing w:after="160"/>
    </w:pPr>
  </w:style>
  <w:style w:type="paragraph" w:styleId="926">
    <w:name w:val="Balloon Text"/>
    <w:basedOn w:val="915"/>
    <w:link w:val="92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927" w:customStyle="1">
    <w:name w:val="Текст выноски Знак"/>
    <w:basedOn w:val="916"/>
    <w:link w:val="926"/>
    <w:uiPriority w:val="99"/>
    <w:semiHidden/>
    <w:rPr>
      <w:rFonts w:ascii="Segoe UI" w:hAnsi="Segoe UI" w:cs="Segoe UI"/>
      <w:sz w:val="18"/>
      <w:szCs w:val="18"/>
    </w:rPr>
  </w:style>
  <w:style w:type="paragraph" w:styleId="928" w:customStyle="1">
    <w:name w:val="ConsPlusTitle"/>
    <w:qFormat/>
    <w:pPr>
      <w:ind w:left="0" w:right="0"/>
      <w:spacing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character" w:styleId="929">
    <w:name w:val="annotation reference"/>
    <w:basedOn w:val="916"/>
    <w:uiPriority w:val="99"/>
    <w:semiHidden/>
    <w:unhideWhenUsed/>
    <w:rPr>
      <w:sz w:val="16"/>
      <w:szCs w:val="16"/>
    </w:rPr>
  </w:style>
  <w:style w:type="paragraph" w:styleId="930">
    <w:name w:val="annotation text"/>
    <w:basedOn w:val="915"/>
    <w:link w:val="931"/>
    <w:uiPriority w:val="99"/>
    <w:unhideWhenUsed/>
    <w:pPr>
      <w:spacing w:line="240" w:lineRule="auto"/>
    </w:pPr>
    <w:rPr>
      <w:sz w:val="20"/>
      <w:szCs w:val="20"/>
    </w:rPr>
  </w:style>
  <w:style w:type="character" w:styleId="931" w:customStyle="1">
    <w:name w:val="Текст примечания Знак"/>
    <w:basedOn w:val="916"/>
    <w:link w:val="930"/>
    <w:uiPriority w:val="99"/>
    <w:rPr>
      <w:sz w:val="20"/>
      <w:szCs w:val="20"/>
    </w:rPr>
  </w:style>
  <w:style w:type="paragraph" w:styleId="932">
    <w:name w:val="annotation subject"/>
    <w:basedOn w:val="930"/>
    <w:next w:val="930"/>
    <w:link w:val="933"/>
    <w:uiPriority w:val="99"/>
    <w:semiHidden/>
    <w:unhideWhenUsed/>
    <w:rPr>
      <w:b/>
      <w:bCs/>
    </w:rPr>
  </w:style>
  <w:style w:type="character" w:styleId="933" w:customStyle="1">
    <w:name w:val="Тема примечания Знак"/>
    <w:basedOn w:val="931"/>
    <w:link w:val="932"/>
    <w:uiPriority w:val="99"/>
    <w:semiHidden/>
    <w:rPr>
      <w:b/>
      <w:bCs/>
      <w:sz w:val="20"/>
      <w:szCs w:val="20"/>
    </w:rPr>
  </w:style>
  <w:style w:type="paragraph" w:styleId="934" w:customStyle="1">
    <w:name w:val="formattext"/>
    <w:basedOn w:val="915"/>
    <w:pPr>
      <w:ind w:left="0" w:right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ConsPlusNormal"/>
    <w:pPr>
      <w:ind w:left="0" w:right="0"/>
      <w:spacing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6">
    <w:name w:val="Header"/>
    <w:basedOn w:val="915"/>
    <w:link w:val="937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16"/>
    <w:link w:val="936"/>
    <w:uiPriority w:val="99"/>
  </w:style>
  <w:style w:type="paragraph" w:styleId="938">
    <w:name w:val="Footer"/>
    <w:basedOn w:val="915"/>
    <w:link w:val="93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16"/>
    <w:link w:val="938"/>
    <w:uiPriority w:val="99"/>
  </w:style>
  <w:style w:type="character" w:styleId="940">
    <w:name w:val="Hyperlink"/>
    <w:basedOn w:val="916"/>
    <w:uiPriority w:val="99"/>
    <w:unhideWhenUsed/>
    <w:rPr>
      <w:color w:val="0563c1" w:themeColor="hyperlink"/>
      <w:u w:val="single"/>
    </w:rPr>
  </w:style>
  <w:style w:type="character" w:styleId="941" w:customStyle="1">
    <w:name w:val="information"/>
    <w:basedOn w:val="916"/>
  </w:style>
  <w:style w:type="character" w:styleId="942" w:customStyle="1">
    <w:name w:val="b-share-btn__wrap"/>
    <w:basedOn w:val="916"/>
  </w:style>
  <w:style w:type="character" w:styleId="943" w:customStyle="1">
    <w:name w:val="b-share-counter"/>
    <w:basedOn w:val="916"/>
  </w:style>
  <w:style w:type="character" w:styleId="944">
    <w:name w:val="Emphasis"/>
    <w:basedOn w:val="916"/>
    <w:uiPriority w:val="20"/>
    <w:qFormat/>
    <w:rPr>
      <w:i/>
      <w:iCs/>
    </w:rPr>
  </w:style>
  <w:style w:type="character" w:styleId="945">
    <w:name w:val="Strong"/>
    <w:basedOn w:val="916"/>
    <w:uiPriority w:val="22"/>
    <w:qFormat/>
    <w:rPr>
      <w:b/>
      <w:bCs/>
    </w:rPr>
  </w:style>
  <w:style w:type="character" w:styleId="946" w:customStyle="1">
    <w:name w:val="pt-a0"/>
    <w:basedOn w:val="916"/>
  </w:style>
  <w:style w:type="paragraph" w:styleId="947" w:customStyle="1">
    <w:name w:val="pt-000020"/>
    <w:basedOn w:val="915"/>
    <w:pPr>
      <w:ind w:left="0" w:right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>
    <w:name w:val="Body Text"/>
    <w:basedOn w:val="915"/>
    <w:link w:val="949"/>
    <w:pPr>
      <w:ind w:left="0" w:right="0"/>
      <w:spacing w:after="140" w:line="276" w:lineRule="auto"/>
    </w:pPr>
    <w:rPr>
      <w:rFonts w:ascii="LiberationSerif" w:hAnsi="LiberationSerif" w:eastAsia="LiberationSerif" w:cs="LiberationSerif"/>
      <w:color w:val="000000"/>
      <w:sz w:val="24"/>
      <w:szCs w:val="20"/>
      <w:lang w:eastAsia="ru-RU"/>
    </w:rPr>
  </w:style>
  <w:style w:type="character" w:styleId="949" w:customStyle="1">
    <w:name w:val="Основной текст Знак"/>
    <w:basedOn w:val="916"/>
    <w:link w:val="948"/>
    <w:rPr>
      <w:rFonts w:ascii="LiberationSerif" w:hAnsi="LiberationSerif" w:eastAsia="LiberationSerif" w:cs="LiberationSerif"/>
      <w:color w:val="000000"/>
      <w:sz w:val="24"/>
      <w:szCs w:val="20"/>
      <w:lang w:eastAsia="ru-RU"/>
    </w:rPr>
  </w:style>
  <w:style w:type="paragraph" w:styleId="950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#Par295" TargetMode="External"/><Relationship Id="rId12" Type="http://schemas.openxmlformats.org/officeDocument/2006/relationships/hyperlink" Target="https://login.consultant.ru/link/?req=doc&amp;base=LAW&amp;n=495001&amp;dst=100572" TargetMode="External"/><Relationship Id="rId13" Type="http://schemas.openxmlformats.org/officeDocument/2006/relationships/hyperlink" Target="https://login.consultant.ru/link/?req=doc&amp;base=LAW&amp;n=495001&amp;dst=100572" TargetMode="External"/><Relationship Id="rId14" Type="http://schemas.openxmlformats.org/officeDocument/2006/relationships/hyperlink" Target="https://www.consultant.ru/document/cons_doc_LAW_495001/28252c3a766a205d79290647b65eb73689828842/#dst101328" TargetMode="External"/><Relationship Id="rId15" Type="http://schemas.openxmlformats.org/officeDocument/2006/relationships/hyperlink" Target="https://login.consultant.ru/link/?req=doc&amp;base=PRJ&amp;n=255110&amp;dst=100256&amp;field=134&amp;date=25.12.2024" TargetMode="External"/><Relationship Id="rId16" Type="http://schemas.openxmlformats.org/officeDocument/2006/relationships/hyperlink" Target="https://login.consultant.ru/link/?req=doc&amp;base=LAW&amp;n=494457" TargetMode="External"/><Relationship Id="rId17" Type="http://schemas.openxmlformats.org/officeDocument/2006/relationships/hyperlink" Target="https://login.consultant.ru/link/?req=doc&amp;base=LAW&amp;n=495001&amp;dst=100640" TargetMode="External"/><Relationship Id="rId18" Type="http://schemas.openxmlformats.org/officeDocument/2006/relationships/hyperlink" Target="https://www.consultant.ru/document/cons_doc_LAW_495001/7c4d9b914ce7cc9d3c847bba5f7bf1de34033941/#dst101038" TargetMode="External"/><Relationship Id="rId19" Type="http://schemas.openxmlformats.org/officeDocument/2006/relationships/hyperlink" Target="https://login.consultant.ru/link/?req=doc&amp;base=LAW&amp;n=495001&amp;dst=1006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81F62-8127-4C6E-808B-335505BE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revision>57</cp:revision>
  <dcterms:created xsi:type="dcterms:W3CDTF">2022-01-13T07:19:00Z</dcterms:created>
  <dcterms:modified xsi:type="dcterms:W3CDTF">2025-02-11T08:39:02Z</dcterms:modified>
</cp:coreProperties>
</file>