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_Hlk70440603"/>
      <w:r/>
      <w:bookmarkStart w:id="1" w:name="_Hlk79576533"/>
      <w:r/>
      <w:bookmarkStart w:id="2" w:name="_Hlk7959043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ahoma"/>
          <w:sz w:val="28"/>
          <w:szCs w:val="28"/>
        </w:rPr>
      </w:pPr>
      <w:r>
        <w:rPr>
          <w:rFonts w:ascii="Times New Roman" w:hAnsi="Times New Roman" w:eastAsia="Times New Roman" w:cs="Tahoma"/>
          <w:sz w:val="28"/>
          <w:szCs w:val="28"/>
        </w:rPr>
      </w:r>
      <w:r>
        <w:rPr>
          <w:rFonts w:ascii="Times New Roman" w:hAnsi="Times New Roman" w:eastAsia="Times New Roman" w:cs="Tahoma"/>
          <w:sz w:val="28"/>
          <w:szCs w:val="28"/>
        </w:rPr>
      </w:r>
      <w:r>
        <w:rPr>
          <w:rFonts w:ascii="Times New Roman" w:hAnsi="Times New Roman" w:eastAsia="Times New Roman" w:cs="Tahoma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ahoma"/>
          <w:sz w:val="28"/>
          <w:szCs w:val="28"/>
        </w:rPr>
      </w:pPr>
      <w:r>
        <w:rPr>
          <w:rFonts w:ascii="Times New Roman" w:hAnsi="Times New Roman" w:eastAsia="Times New Roman" w:cs="Tahoma"/>
          <w:sz w:val="28"/>
          <w:szCs w:val="28"/>
        </w:rPr>
      </w:r>
      <w:r>
        <w:rPr>
          <w:rFonts w:ascii="Times New Roman" w:hAnsi="Times New Roman" w:eastAsia="Times New Roman" w:cs="Tahoma"/>
          <w:sz w:val="28"/>
          <w:szCs w:val="28"/>
        </w:rPr>
      </w:r>
      <w:r>
        <w:rPr>
          <w:rFonts w:ascii="Times New Roman" w:hAnsi="Times New Roman" w:eastAsia="Times New Roman" w:cs="Tahoma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ahoma"/>
          <w:sz w:val="28"/>
          <w:szCs w:val="28"/>
        </w:rPr>
      </w:pPr>
      <w:r>
        <w:rPr>
          <w:rFonts w:ascii="Times New Roman" w:hAnsi="Times New Roman" w:eastAsia="Times New Roman" w:cs="Tahoma"/>
          <w:sz w:val="28"/>
          <w:szCs w:val="28"/>
        </w:rPr>
        <w:t xml:space="preserve">«</w:t>
      </w:r>
      <w:r>
        <w:rPr>
          <w:rFonts w:ascii="Times New Roman" w:hAnsi="Times New Roman" w:eastAsia="Times New Roman" w:cs="Tahoma"/>
          <w:sz w:val="28"/>
          <w:szCs w:val="28"/>
        </w:rPr>
        <w:t xml:space="preserve">УТВЕРЖДЕНЫ</w:t>
      </w:r>
      <w:r>
        <w:rPr>
          <w:rFonts w:ascii="Times New Roman" w:hAnsi="Times New Roman" w:eastAsia="Times New Roman" w:cs="Tahoma"/>
          <w:sz w:val="28"/>
          <w:szCs w:val="28"/>
        </w:rPr>
      </w:r>
      <w:r>
        <w:rPr>
          <w:rFonts w:ascii="Times New Roman" w:hAnsi="Times New Roman" w:eastAsia="Times New Roman" w:cs="Tahoma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ahoma"/>
          <w:sz w:val="28"/>
          <w:szCs w:val="28"/>
        </w:rPr>
      </w:pPr>
      <w:r>
        <w:rPr>
          <w:rFonts w:ascii="Times New Roman" w:hAnsi="Times New Roman" w:eastAsia="Times New Roman" w:cs="Tahoma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eastAsia="Times New Roman" w:cs="Tahoma"/>
          <w:sz w:val="28"/>
          <w:szCs w:val="28"/>
        </w:rPr>
      </w:r>
      <w:r>
        <w:rPr>
          <w:rFonts w:ascii="Times New Roman" w:hAnsi="Times New Roman" w:eastAsia="Times New Roman" w:cs="Tahoma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  <w:t xml:space="preserve">Новосибирской области</w:t>
      </w: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  <w:t xml:space="preserve">от 30.12.2021 № 57</w:t>
      </w: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  <w:t xml:space="preserve">1</w:t>
      </w: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  <w:t xml:space="preserve">-п</w:t>
      </w:r>
      <w:bookmarkEnd w:id="0"/>
      <w:r/>
      <w:bookmarkEnd w:id="1"/>
      <w:r/>
      <w:bookmarkEnd w:id="2"/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377" w:type="dxa"/>
        <w:tblInd w:w="-2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85"/>
        <w:gridCol w:w="3261"/>
        <w:gridCol w:w="141"/>
        <w:gridCol w:w="67"/>
        <w:gridCol w:w="1417"/>
        <w:gridCol w:w="76"/>
        <w:gridCol w:w="425"/>
        <w:gridCol w:w="3402"/>
        <w:gridCol w:w="76"/>
        <w:gridCol w:w="1908"/>
        <w:gridCol w:w="76"/>
        <w:gridCol w:w="3043"/>
      </w:tblGrid>
      <w:tr>
        <w:tblPrEx/>
        <w:trPr>
          <w:trHeight w:val="12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(индекс)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расчета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(интерпретация значений)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left="-131" w:right="-137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значения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left="-128" w:right="-116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данных для определения значения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71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результативности, отражающие уровень безопасности охраняемых законом ценностей, выражающийся в минимизации причинения им вреда (ущерба)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контроль (надзор)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многоквартирных домов и иных 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А.3.1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ля предпроблемных и проблемных объектов,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строящихся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 с привлечением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денежных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средств участников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долевого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строительства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 в общем количестве объектов, строящихся с привлечением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денежных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средств участников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 долевого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строительства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(Кн)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Кн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=Кнар/Кобщ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*100%.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Кнар- количество Объектов предпроблемного мониторинга и проблемных объектов;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Кобщ-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общее количестве объектов, строящихся с привлечением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денежных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средств участников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строительства.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не более 3 %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right="-11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информация из Единой информационной с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истемы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жилищного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строительства (далее – ЕИСЖС), ППК «Фонд развития территорий»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А.3.2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оля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объектов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введенных в эксплуатацию  в срок, предусмотренный проектной декларацией, к общему количеству введенных в эксплуатацию объектов,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строящихся с привлечением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денежных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средств участников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строительства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(Овв)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Овв= Ос/Ообщ*100%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  <w:t xml:space="preserve">Ос-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количество объектов, введенных в эксплуатацию в срок, предусмотренный проектной декларацией;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yellow"/>
              </w:rPr>
            </w:r>
          </w:p>
          <w:p>
            <w:pPr>
              <w:ind w:firstLine="0"/>
              <w:jc w:val="both"/>
              <w:spacing w:after="0" w:line="240" w:lineRule="auto"/>
              <w:tabs>
                <w:tab w:val="left" w:pos="8753" w:leader="none"/>
              </w:tabs>
              <w:rPr>
                <w:rFonts w:ascii="Times New Roman" w:hAnsi="Times New Roman" w:eastAsia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  <w:t xml:space="preserve">Ообщ-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общее количество введенных в эксплуатацию объектов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не менее 50 %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информация из Единой информационной с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истемы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жилищного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строительства (далее – ЕИСЖС)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303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Индикативные показатели, характеризующие различные аспекты подконтрольной сферы и осуществления контроля (надзора)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ндикативные показатели, характеризующие непосредственное состояние подконтрольной сферы, в том числе уровень вмешательства в деятельность контролируемых лиц: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мероприятий, проведенных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(юридических лиц),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по 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 (Д 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не=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мер*100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не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выяв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 (юридических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результатам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которых не было выявлено нарушений;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мер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общее 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(юридических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right="-13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окументы, полученные в результате 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В.1.9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Среднее  количество контрольных (надзорных)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мероприятий, проведенных в отношении одной организации (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сред)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мер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общее количество проведенных контрольных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(юридических лиц),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общ –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(юриди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ческих лиц,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right="-13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ндикативные показатели, характеризующие качество проводимых мероприятий, в том числе в части их направленности на устранение максимального объема потенциального вреда (ущерба) охраняемым законом ценностям: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проведенных мероприятий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 отношении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Показатель  учитывает суммарное количество мероприятий (контрольных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(надзорных) и профилактических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, проведенных в отношении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right="-27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27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окументы, полученные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контролируемых лиц, у которых были устранены нарушения, выявленные в  результате проведения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right="-1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штатных единиц, прошедших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 течение последних трех лет программы переобучения или повышения квалификации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показатель устанавливается из числа штатных единиц, в должностные обязанности которых входят выполнение контрольно-надзорных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right="-1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В.2.8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 жалоб, в отношении которых контрольным (надзорным) органом был нарушен срок рассмотрения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right="-1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В.2.9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жалоб, поданных контролируемыми лицами в досудебном порядке, по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итогам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(бездействия)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должностных лиц контрольных (надзорных) органов недействительными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right="-1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ндикативные показатели, характеризующие параметры проведенных контрольными (надзорными) органами мероприятий: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онтрольные (надзорные) 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Общее количество проведенных контрольных (надзорных) мероприятий (внеплановые документарные проверки, мероприятия без взаимодействия)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окументы, полученные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В.3.1.3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Общее количество проведенных внеплановых контрольных (надзорных)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В.3.1.4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мероприятий, проведенных без взаимодействия с контролируемыми лицами, от общего количества проведенных контрольных (надзорных) мероприятий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(Д без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вз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мер*100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без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вз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общее количество контрольных (надзорных) мероприятий, проведенных без взаимодействия с контролируемыми лицами;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мер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общее 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(юридических лиц),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В.3.1.6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 с взаимодействием с контролируемыми лицами (внеплановых документарных проверок), проведенных с использованием государственной информ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ационной системы «Типовое облачное решение по автоматизации контрольной (надзорной) деятельности», от общего количество контрольных (надзорных) мероприятий, проведенных с взаимодействием с контролируемыми лицами (внеплановых документарных проверок) (Д тор)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тор=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тор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контрольных (надзорных) мероприятий, проведенных с взаимодействием с контролируемыми лицами (внеплановых документарных проверок)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проведенных с использованием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информационной системы «Типовое облачное решение по автоматизации контрольной (надзорной) деятельности»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контрольных (надзорных) мероприятий (внеплановых документарных проверок), проведенных с взаимодействием с контролируемыми лицами,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В.3.1.7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внеплановых контрольных (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надзорных) мероприятий (внеплановых документарных проверок),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В.3.1.8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контрольных (надзорных) мероприятий, по результатам которых выявлены нарушения обязательных требований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В.3.1.9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на результаты которых поданы жалобы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(Д жалоб)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жалоб=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жалоб 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жалоб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количество проведенных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контрольно-надзорных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внеплановых документарных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проверок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в отношении лиц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долевого строительства на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результаты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которых поданы жалобы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контрольных (надзорных) мероприятий (внеплановых документарных проверок), проведенных с взаимодействием с контролируемыми лицами,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В.3.1.13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проверок), результаты которых были признаны недействительными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нед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нед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контрольных (надзорных) мероприятий (внеплановых документарных проверок), проведенных в отношении лиц,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долевого строительства,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результаты которых были признаны недействительными, в том числе по решению суда и по предписанию органов прокуратуры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контрольных (надзорных) мероприятий (внеплановых документарных проверок), проведенных с взаимодействием с контролируемыми лицами,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В.3.1.14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контрольных (надзорных) мероприятий (внеплановых документарных проверок), проведенных  с нарушениями требований законодательства Российской Федерации, по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результатам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выявления которых к должностным лицам контрольных (надзорных) органов, проводившим такие контрольные (надзорные) мероприятия, применены меры дисциплинарного, административного наказания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В.3.1.15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проверок), которые не удалось провести в связи с отсутствием контролируемого лица по месту нахождения, указанному в государственных информационных ресурсах (Д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отсут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отсут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контрольных (надзорных) мероприятий (внеплановых документарных проверок)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в отношении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лиц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существляющих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денежных средств участников долевого строительства,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которые не удалось провести в связи с отсутствием контролируемого лица по месту нахождения, указанному в государственных информационных ресурсах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контрольных (надзорных) мероприятий (внеплановых документарных проверок), проведенных с взаимодействием с контролируемыми лицами,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В.3.1.17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проверок), по результатам которых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материалы о выявленных нарушениях переданы в уполномоченные органы для возбуждения уголовных дел (Д угол)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угол=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 –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контрольных (надзорных) мероприятий (внеплановых документарных проверок)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в отношении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лиц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долевого строительства,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по результатам которых материалы о выявленных нарушениях переданы в уполномоченные органы для возбуждения уголовных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выяв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проведенных контрольных (надзорных) мероприятий (внеплановых документарных проверок)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(юридических лиц,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результатам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которых были выявлены нарушения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В.3.1.18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Общая сумма наложенных по итогам проверок административных штрафов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В.3.1.19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Общая сумма уплаченных (взысканных) административных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штрафов, наложенных по итогам контрольных (надзорных)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В.3.1.20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Отношение  суммы взысканных административных штрафов к общей сумме наложенных административных штрафов (% взыск)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взыск= В/Н *100%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сумма взысканных штрафов, тыс. руб.;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– сумма наложенных штрафов,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1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В.3.1.21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Средний размер наложенного административного штрафа (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Шср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Кштр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– сумма наложенных штрафов, тыс. руб.;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административных дел, по результатам которых назначено наказание в виде административного штрафа,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рофилактические 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В.3.2.1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окументы, полученные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В.3.2.2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контролируемых лиц, в отношении которых проведены профилактические мероприятия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В.3.2.3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контролируемых лиц, в отношении которых были проведены обязательные профилактические визиты, от общего количества запланированных обязательных профилактических визитов (Д визит)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визит=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мер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проведены обязательные профилактические визиты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план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юридических лиц,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запланированы обязательные профилактические 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В.3.2.4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контролируемых лиц, в отношении которых проведены профилактические мероприятия (Д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проф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мер)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проф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мер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(юридических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проведены профилактические мероприятия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(юридических лиц,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72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3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В.4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показатели, характеризующие объем задействованных трудовых, материальных и финансовых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tbl>
      <w:tblPr>
        <w:tblW w:w="15377" w:type="dxa"/>
        <w:tblInd w:w="-2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85"/>
        <w:gridCol w:w="3469"/>
        <w:gridCol w:w="1417"/>
        <w:gridCol w:w="4045"/>
        <w:gridCol w:w="1842"/>
        <w:gridCol w:w="311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В.4.1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командировочных расходов, накладных расходов, прочих расходов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right="-1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документы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Новосибирской области</w:t>
            </w:r>
            <w:bookmarkStart w:id="3" w:name="_GoBack"/>
            <w:r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В.4.2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штатных единиц, всего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right="-1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В.4.3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штатных единиц, в должностные обязанности которых входит выполнение контрольно-надзорных функций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right="-1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Par349"/>
      <w:r/>
      <w:bookmarkEnd w:id="4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right="-456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строительства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12.10.2018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656/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</w:t>
      </w:r>
      <w:r>
        <w:rPr>
          <w:rFonts w:ascii="Times New Roman" w:hAnsi="Times New Roman" w:cs="Times New Roman"/>
          <w:sz w:val="28"/>
          <w:szCs w:val="28"/>
        </w:rPr>
        <w:t xml:space="preserve">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</w:t>
      </w:r>
      <w:r>
        <w:rPr>
          <w:rFonts w:ascii="Times New Roman" w:hAnsi="Times New Roman" w:cs="Times New Roman"/>
          <w:sz w:val="28"/>
          <w:szCs w:val="28"/>
        </w:rPr>
        <w:t xml:space="preserve">накопительной ведомости п</w:t>
      </w:r>
      <w:r>
        <w:rPr>
          <w:rFonts w:ascii="Times New Roman" w:hAnsi="Times New Roman" w:cs="Times New Roman"/>
          <w:sz w:val="28"/>
          <w:szCs w:val="28"/>
        </w:rPr>
        <w:t xml:space="preserve">роекта строительства» (вместе с  </w:t>
      </w:r>
      <w:r>
        <w:rPr>
          <w:rFonts w:ascii="Times New Roman" w:hAnsi="Times New Roman" w:cs="Times New Roman"/>
          <w:sz w:val="28"/>
          <w:szCs w:val="28"/>
        </w:rPr>
        <w:t xml:space="preserve">Порядком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(надзор) в области </w:t>
      </w:r>
      <w:r>
        <w:rPr>
          <w:rFonts w:ascii="Times New Roman" w:hAnsi="Times New Roman" w:cs="Times New Roman"/>
          <w:sz w:val="28"/>
          <w:szCs w:val="28"/>
        </w:rPr>
        <w:t xml:space="preserve">долевого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домов и (или) иных объектов недвижимости).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851" w:right="1134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8851329"/>
      <w:rPr>
        <w:rFonts w:ascii="Times New Roman" w:hAnsi="Times New Roman" w:cs="Times New Roman"/>
        <w:sz w:val="20"/>
        <w:szCs w:val="20"/>
      </w:rPr>
    </w:sdtPr>
    <w:sdtContent>
      <w:p>
        <w:pPr>
          <w:pStyle w:val="86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7"/>
    <w:next w:val="857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8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7"/>
    <w:next w:val="857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8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8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8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8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8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8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7"/>
    <w:next w:val="857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8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7"/>
    <w:next w:val="857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8"/>
    <w:link w:val="703"/>
    <w:uiPriority w:val="10"/>
    <w:rPr>
      <w:sz w:val="48"/>
      <w:szCs w:val="48"/>
    </w:rPr>
  </w:style>
  <w:style w:type="paragraph" w:styleId="705">
    <w:name w:val="Subtitle"/>
    <w:basedOn w:val="857"/>
    <w:next w:val="857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8"/>
    <w:link w:val="705"/>
    <w:uiPriority w:val="11"/>
    <w:rPr>
      <w:sz w:val="24"/>
      <w:szCs w:val="24"/>
    </w:rPr>
  </w:style>
  <w:style w:type="paragraph" w:styleId="707">
    <w:name w:val="Quote"/>
    <w:basedOn w:val="857"/>
    <w:next w:val="857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7"/>
    <w:next w:val="857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8"/>
    <w:link w:val="867"/>
    <w:uiPriority w:val="99"/>
  </w:style>
  <w:style w:type="character" w:styleId="712">
    <w:name w:val="Footer Char"/>
    <w:basedOn w:val="858"/>
    <w:link w:val="868"/>
    <w:uiPriority w:val="99"/>
  </w:style>
  <w:style w:type="paragraph" w:styleId="713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8"/>
    <w:uiPriority w:val="99"/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blStylePr w:type="band1Horz">
      <w:tcPr>
        <w:shd w:val="clear" w:color="ffffff" w:themeColor="accent1" w:themeTint="75" w:fill="a9bee4" w:themeFill="accent1" w:themeFillTint="75"/>
      </w:tcPr>
    </w:tblStylePr>
    <w:tblStylePr w:type="band1Vert">
      <w:tcPr>
        <w:shd w:val="clear" w:color="ffffff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blStylePr w:type="band1Horz">
      <w:tcPr>
        <w:shd w:val="clear" w:color="ffffff" w:themeColor="accent2" w:themeTint="75" w:fill="f7c3a0" w:themeFill="accent2" w:themeFillTint="75"/>
      </w:tcPr>
    </w:tblStylePr>
    <w:tblStylePr w:type="band1Vert">
      <w:tcPr>
        <w:shd w:val="clear" w:color="ffffff" w:themeColor="accent2" w:themeTint="75" w:fill="f7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blStylePr w:type="band1Horz">
      <w:tcPr>
        <w:shd w:val="clear" w:color="ffffff" w:themeColor="accent4" w:themeTint="75" w:fill="ffe28a" w:themeFill="accent4" w:themeFillTint="75"/>
      </w:tcPr>
    </w:tblStylePr>
    <w:tblStylePr w:type="band1Vert">
      <w:tcPr>
        <w:shd w:val="clear" w:color="ffffff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blStylePr w:type="band1Horz">
      <w:tcPr>
        <w:shd w:val="clear" w:color="ffffff" w:themeColor="accent5" w:themeTint="75" w:fill="b4d1ec" w:themeFill="accent5" w:themeFillTint="75"/>
      </w:tcPr>
    </w:tblStylePr>
    <w:tblStylePr w:type="band1Vert">
      <w:tcPr>
        <w:shd w:val="clear" w:color="ffffff" w:themeColor="accent5" w:themeTint="75" w:fill="b4d1ec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blStylePr w:type="band1Horz">
      <w:tcPr>
        <w:shd w:val="clear" w:color="ffffff" w:themeColor="accent6" w:themeTint="75" w:fill="bddba8" w:themeFill="accent6" w:themeFillTint="75"/>
      </w:tcPr>
    </w:tblStylePr>
    <w:tblStylePr w:type="band1Vert">
      <w:tcPr>
        <w:shd w:val="clear" w:color="ffffff" w:themeColor="accent6" w:themeTint="75" w:fill="bd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3" w:themeFill="accent1" w:themeFillTint="34"/>
      </w:tcPr>
    </w:tblStylePr>
    <w:tblStylePr w:type="band1Vert">
      <w:tcPr>
        <w:shd w:val="clear" w:color="ffffff" w:themeColor="accent1" w:themeTint="34" w:fill="d9e2f3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760ab" w:themeColor="accent1" w:themeTint="80" w:themeShade="95"/>
      </w:rPr>
    </w:tblStylePr>
    <w:tblStylePr w:type="firstRow">
      <w:rPr>
        <w:b/>
        <w:color w:val="3760ab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</w:tblStylePr>
    <w:tblStylePr w:type="lastRow">
      <w:rPr>
        <w:b/>
        <w:color w:val="3760ab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tcPr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5d12" w:themeColor="accent2" w:themeTint="97" w:themeShade="95"/>
      </w:rPr>
    </w:tblStylePr>
    <w:tblStylePr w:type="firstRow">
      <w:rPr>
        <w:b/>
        <w:color w:val="ca5d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</w:tblStylePr>
    <w:tblStylePr w:type="lastRow">
      <w:rPr>
        <w:b/>
        <w:color w:val="ca5d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tcPr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09d00" w:themeColor="accent4" w:themeTint="9A" w:themeShade="95"/>
      </w:rPr>
    </w:tblStylePr>
    <w:tblStylePr w:type="firstRow">
      <w:rPr>
        <w:b/>
        <w:color w:val="d09d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</w:tblStylePr>
    <w:tblStylePr w:type="lastRow">
      <w:rPr>
        <w:b/>
        <w:color w:val="d09d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eebf6" w:themeFill="accent5" w:themeFillTint="34"/>
      </w:tcPr>
    </w:tblStylePr>
    <w:tblStylePr w:type="band1Vert">
      <w:tcPr>
        <w:shd w:val="clear" w:color="ffffff" w:themeColor="accent5" w:themeTint="34" w:fill="de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b8d" w:themeColor="accent5" w:themeShade="95"/>
      </w:rPr>
    </w:tblStylePr>
    <w:tblStylePr w:type="firstRow">
      <w:rPr>
        <w:b/>
        <w:color w:val="245b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</w:tblStylePr>
    <w:tblStylePr w:type="lastRow">
      <w:rPr>
        <w:b/>
        <w:color w:val="245b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tcPr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b8d" w:themeColor="accent5" w:themeShade="95"/>
      </w:rPr>
    </w:tblStylePr>
    <w:tblStylePr w:type="firstRow">
      <w:rPr>
        <w:b/>
        <w:color w:val="245b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</w:tblStylePr>
    <w:tblStylePr w:type="lastRow">
      <w:rPr>
        <w:b/>
        <w:color w:val="245b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760ab" w:themeColor="accent1" w:themeTint="80" w:themeShade="95"/>
        <w:sz w:val="22"/>
      </w:rPr>
      <w:tcPr>
        <w:shd w:val="clear" w:color="ffffff" w:themeColor="accent1" w:themeTint="34" w:fill="d9e2f3" w:themeFill="accent1" w:themeFillTint="34"/>
      </w:tcPr>
    </w:tblStylePr>
    <w:tblStylePr w:type="band1Vert">
      <w:tcPr>
        <w:shd w:val="clear" w:color="ffffff" w:themeColor="accent1" w:themeTint="34" w:fill="d9e2f3" w:themeFill="accent1" w:themeFillTint="34"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a5d12" w:themeColor="accent2" w:themeTint="97" w:themeShade="95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tcPr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09d00" w:themeColor="accent4" w:themeTint="9A" w:themeShade="95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tcPr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b8d" w:themeColor="accent5" w:themeShade="95"/>
        <w:sz w:val="22"/>
      </w:rPr>
      <w:tcPr>
        <w:shd w:val="clear" w:color="ffffff" w:themeColor="accent5" w:themeTint="34" w:fill="deebf6" w:themeFill="accent5" w:themeFillTint="34"/>
      </w:tcPr>
    </w:tblStylePr>
    <w:tblStylePr w:type="band1Vert">
      <w:tcPr>
        <w:shd w:val="clear" w:color="ffffff" w:themeColor="accent5" w:themeTint="34" w:fill="deeb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16529" w:themeColor="accent6" w:themeShade="95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tcPr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0dcf0" w:themeFill="accent1" w:themeFillTint="40"/>
      </w:tcPr>
    </w:tblStylePr>
    <w:tblStylePr w:type="band1Vert">
      <w:tcPr>
        <w:shd w:val="clear" w:color="ffffff" w:themeColor="accent1" w:themeTint="40" w:fill="d0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6e6f4" w:themeFill="accent5" w:themeFillTint="40"/>
      </w:tcPr>
    </w:tblStylePr>
    <w:tblStylePr w:type="band1Vert">
      <w:tcPr>
        <w:shd w:val="clear" w:color="ffffff" w:themeColor="accent5" w:themeTint="40" w:fill="d6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0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0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6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6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3e6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0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0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6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6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blStylePr w:type="band1Horz"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blStylePr w:type="band1Horz"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blStylePr w:type="band1Horz"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blStylePr w:type="band1Horz"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0dcf0" w:themeFill="accent1" w:themeFillTint="40"/>
      </w:tcPr>
    </w:tblStylePr>
    <w:tblStylePr w:type="band1Vert">
      <w:tcPr>
        <w:shd w:val="clear" w:color="ffffff" w:themeColor="accent1" w:themeTint="40" w:fill="d0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275" w:themeColor="accent1" w:themeShade="95"/>
      </w:rPr>
    </w:tblStylePr>
    <w:tblStylePr w:type="firstRow">
      <w:rPr>
        <w:b/>
        <w:color w:val="254275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</w:tblStylePr>
    <w:tblStylePr w:type="lastRow">
      <w:rPr>
        <w:b/>
        <w:color w:val="254275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5d12" w:themeColor="accent2" w:themeTint="97" w:themeShade="95"/>
      </w:rPr>
    </w:tblStylePr>
    <w:tblStylePr w:type="firstRow">
      <w:rPr>
        <w:b/>
        <w:color w:val="ca5d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</w:tblStylePr>
    <w:tblStylePr w:type="lastRow">
      <w:rPr>
        <w:b/>
        <w:color w:val="ca5d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09d00" w:themeColor="accent4" w:themeTint="9A" w:themeShade="95"/>
      </w:rPr>
    </w:tblStylePr>
    <w:tblStylePr w:type="firstRow">
      <w:rPr>
        <w:b/>
        <w:color w:val="d09d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</w:tblStylePr>
    <w:tblStylePr w:type="lastRow">
      <w:rPr>
        <w:b/>
        <w:color w:val="d09d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6e6f4" w:themeFill="accent5" w:themeFillTint="40"/>
      </w:tcPr>
    </w:tblStylePr>
    <w:tblStylePr w:type="band1Vert">
      <w:tcPr>
        <w:shd w:val="clear" w:color="ffffff" w:themeColor="accent5" w:themeTint="40" w:fill="d6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d74b4" w:themeColor="accent5" w:themeTint="9A" w:themeShade="95"/>
      </w:rPr>
    </w:tblStylePr>
    <w:tblStylePr w:type="firstRow">
      <w:rPr>
        <w:b/>
        <w:color w:val="2d74b4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</w:tblStylePr>
    <w:tblStylePr w:type="lastRow">
      <w:rPr>
        <w:b/>
        <w:color w:val="2d74b4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e923c" w:themeColor="accent6" w:themeTint="98" w:themeShade="95"/>
      </w:rPr>
    </w:tblStylePr>
    <w:tblStylePr w:type="firstRow">
      <w:rPr>
        <w:b/>
        <w:color w:val="5e92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</w:tblStylePr>
    <w:tblStylePr w:type="lastRow">
      <w:rPr>
        <w:b/>
        <w:color w:val="5e92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275" w:themeColor="accent1" w:themeShade="95"/>
        <w:sz w:val="22"/>
      </w:rPr>
      <w:tcPr>
        <w:shd w:val="clear" w:color="ffffff" w:themeColor="accent1" w:themeTint="40" w:fill="d0dcf0" w:themeFill="accent1" w:themeFillTint="40"/>
      </w:tcPr>
    </w:tblStylePr>
    <w:tblStylePr w:type="band1Vert">
      <w:tcPr>
        <w:shd w:val="clear" w:color="ffffff" w:themeColor="accent1" w:themeTint="40" w:fill="d0dcf0" w:themeFill="accent1" w:themeFillTint="40"/>
      </w:tcPr>
    </w:tblStylePr>
    <w:tblStylePr w:type="band2Horz">
      <w:rPr>
        <w:rFonts w:ascii="Arial" w:hAnsi="Arial"/>
        <w:color w:val="254275" w:themeColor="accent1" w:themeShade="95"/>
        <w:sz w:val="22"/>
      </w:r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275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a5d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09d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d74b4" w:themeColor="accent5" w:themeTint="9A" w:themeShade="95"/>
        <w:sz w:val="22"/>
      </w:rPr>
      <w:tcPr>
        <w:shd w:val="clear" w:color="ffffff" w:themeColor="accent5" w:themeTint="40" w:fill="d6e6f4" w:themeFill="accent5" w:themeFillTint="40"/>
      </w:tcPr>
    </w:tblStylePr>
    <w:tblStylePr w:type="band1Vert">
      <w:tcPr>
        <w:shd w:val="clear" w:color="ffffff" w:themeColor="accent5" w:themeTint="40" w:fill="d6e6f4" w:themeFill="accent5" w:themeFillTint="40"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e923c" w:themeColor="accent6" w:themeTint="98" w:themeShade="95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4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4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ec9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ec9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ec9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ec9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4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4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ec9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ec9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ec9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ec9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e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>
    <w:name w:val="annotation reference"/>
    <w:basedOn w:val="858"/>
    <w:uiPriority w:val="99"/>
    <w:semiHidden/>
    <w:unhideWhenUsed/>
    <w:rPr>
      <w:sz w:val="16"/>
      <w:szCs w:val="16"/>
    </w:rPr>
  </w:style>
  <w:style w:type="character" w:styleId="862">
    <w:name w:val="Hyperlink"/>
    <w:uiPriority w:val="99"/>
    <w:unhideWhenUsed/>
    <w:qFormat/>
    <w:rPr>
      <w:color w:val="0563c1"/>
      <w:u w:val="single"/>
    </w:rPr>
  </w:style>
  <w:style w:type="character" w:styleId="863">
    <w:name w:val="Strong"/>
    <w:basedOn w:val="858"/>
    <w:uiPriority w:val="22"/>
    <w:qFormat/>
    <w:rPr>
      <w:b/>
      <w:bCs/>
    </w:rPr>
  </w:style>
  <w:style w:type="paragraph" w:styleId="864">
    <w:name w:val="Balloon Text"/>
    <w:basedOn w:val="857"/>
    <w:link w:val="87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5">
    <w:name w:val="annotation text"/>
    <w:basedOn w:val="857"/>
    <w:link w:val="87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66">
    <w:name w:val="annotation subject"/>
    <w:basedOn w:val="865"/>
    <w:next w:val="865"/>
    <w:link w:val="879"/>
    <w:uiPriority w:val="99"/>
    <w:semiHidden/>
    <w:unhideWhenUsed/>
    <w:rPr>
      <w:b/>
      <w:bCs/>
    </w:rPr>
  </w:style>
  <w:style w:type="paragraph" w:styleId="867">
    <w:name w:val="Header"/>
    <w:basedOn w:val="857"/>
    <w:link w:val="873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68">
    <w:name w:val="Footer"/>
    <w:basedOn w:val="857"/>
    <w:link w:val="874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69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870">
    <w:name w:val="Table Grid"/>
    <w:basedOn w:val="859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List Paragraph"/>
    <w:basedOn w:val="857"/>
    <w:uiPriority w:val="34"/>
    <w:qFormat/>
    <w:pPr>
      <w:contextualSpacing/>
      <w:ind w:left="720"/>
    </w:pPr>
  </w:style>
  <w:style w:type="paragraph" w:styleId="872" w:customStyle="1">
    <w:name w:val="ConsPlusNormal"/>
    <w:qFormat/>
    <w:pPr>
      <w:widowControl w:val="off"/>
    </w:pPr>
    <w:rPr>
      <w:rFonts w:ascii="Calibri" w:hAnsi="Calibri" w:eastAsia="Times New Roman" w:cs="Calibri"/>
      <w:sz w:val="22"/>
    </w:rPr>
  </w:style>
  <w:style w:type="character" w:styleId="873" w:customStyle="1">
    <w:name w:val="Верхний колонтитул Знак"/>
    <w:basedOn w:val="858"/>
    <w:link w:val="867"/>
    <w:uiPriority w:val="99"/>
    <w:qFormat/>
  </w:style>
  <w:style w:type="character" w:styleId="874" w:customStyle="1">
    <w:name w:val="Нижний колонтитул Знак"/>
    <w:basedOn w:val="858"/>
    <w:link w:val="868"/>
    <w:uiPriority w:val="99"/>
    <w:qFormat/>
  </w:style>
  <w:style w:type="table" w:styleId="875" w:customStyle="1">
    <w:name w:val="Сетка таблицы1"/>
    <w:basedOn w:val="859"/>
    <w:uiPriority w:val="99"/>
    <w:qFormat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6" w:customStyle="1">
    <w:name w:val="Текст выноски Знак"/>
    <w:basedOn w:val="858"/>
    <w:link w:val="864"/>
    <w:uiPriority w:val="99"/>
    <w:semiHidden/>
    <w:qFormat/>
    <w:rPr>
      <w:rFonts w:ascii="Tahoma" w:hAnsi="Tahoma" w:cs="Tahoma"/>
      <w:sz w:val="16"/>
      <w:szCs w:val="16"/>
    </w:rPr>
  </w:style>
  <w:style w:type="paragraph" w:styleId="877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</w:rPr>
  </w:style>
  <w:style w:type="character" w:styleId="878" w:customStyle="1">
    <w:name w:val="Текст примечания Знак"/>
    <w:basedOn w:val="858"/>
    <w:link w:val="865"/>
    <w:uiPriority w:val="99"/>
    <w:semiHidden/>
    <w:qFormat/>
    <w:rPr>
      <w:sz w:val="20"/>
      <w:szCs w:val="20"/>
    </w:rPr>
  </w:style>
  <w:style w:type="character" w:styleId="879" w:customStyle="1">
    <w:name w:val="Тема примечания Знак"/>
    <w:basedOn w:val="878"/>
    <w:link w:val="866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0346F69-EF08-45AE-B415-1B97DA9FE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Пальчик Андрей Владимирович</dc:creator>
  <cp:revision>6</cp:revision>
  <dcterms:created xsi:type="dcterms:W3CDTF">2024-06-13T03:57:00Z</dcterms:created>
  <dcterms:modified xsi:type="dcterms:W3CDTF">2025-02-11T07:36:42Z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468E3F7973D747DFB1FA3B3474E10C42</vt:lpwstr>
  </property>
</Properties>
</file>