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1049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79590435"/>
      <w:bookmarkStart w:id="1" w:name="_Hlk7957653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left="1049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  <w:t xml:space="preserve">«</w:t>
      </w:r>
      <w:r>
        <w:rPr>
          <w:rFonts w:ascii="Times New Roman" w:hAnsi="Times New Roman" w:eastAsia="Times New Roman" w:cs="Tahoma"/>
          <w:sz w:val="28"/>
          <w:szCs w:val="28"/>
        </w:rPr>
        <w:t xml:space="preserve">УТВЕРЖДЕНЫ</w:t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Times New Roman" w:cs="Tahoma"/>
          <w:sz w:val="28"/>
          <w:szCs w:val="28"/>
        </w:rPr>
      </w:pPr>
      <w:r>
        <w:rPr>
          <w:rFonts w:ascii="Times New Roman" w:hAnsi="Times New Roman" w:eastAsia="Times New Roman" w:cs="Tahoma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eastAsia="Times New Roman" w:cs="Tahoma"/>
          <w:sz w:val="28"/>
          <w:szCs w:val="28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Новосибирской области</w:t>
      </w: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</w:p>
    <w:p>
      <w:pPr>
        <w:widowControl w:val="off"/>
        <w:spacing w:after="0" w:line="240" w:lineRule="auto"/>
        <w:ind w:left="10490"/>
        <w:jc w:val="center"/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  <w:t xml:space="preserve">от 30.12.2021 № 572-п</w:t>
      </w:r>
      <w:bookmarkEnd w:id="0"/>
      <w:bookmarkEnd w:id="1"/>
      <w:r>
        <w:rPr>
          <w:rFonts w:ascii="Times New Roman" w:hAnsi="Times New Roman" w:eastAsia="Arial Unicode MS" w:cs="Times New Roman"/>
          <w:sz w:val="28"/>
          <w:szCs w:val="28"/>
          <w:lang w:eastAsia="hi-IN" w:bidi="hi-IN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за деятельностью жилищно-строительных кооперативов, осуществляющих строительство многоквартирных домов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243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60"/>
        <w:gridCol w:w="3192"/>
        <w:gridCol w:w="73"/>
        <w:gridCol w:w="61"/>
        <w:gridCol w:w="1922"/>
        <w:gridCol w:w="135"/>
        <w:gridCol w:w="3123"/>
        <w:gridCol w:w="73"/>
        <w:gridCol w:w="63"/>
        <w:gridCol w:w="9"/>
        <w:gridCol w:w="1839"/>
        <w:gridCol w:w="3193"/>
      </w:tblGrid>
      <w:tr>
        <w:trPr>
          <w:trHeight w:val="1000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(индекс)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расчета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(интерпретация значений)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left="-63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значения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значения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2"/>
        </w:trPr>
        <w:tc>
          <w:tcPr>
            <w:tcW w:w="15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1035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5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60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А.3.1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Доля введенных в эксплуатацию объектов, строящихся ЖСК, к общему количеству объектов, строящихся ЖСК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 w:bidi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(Кж).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yellow"/>
              </w:rPr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Кж= Квв/Кжск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*100%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t xml:space="preserve">Квв- количество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введенных в эксплуатацию объектов, строящихся ЖСК;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Кжск-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общее количество объектов, строящихся ЖСК.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не менее 30 %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Информация из Единой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системы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жилищного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(далее – ЕИСЖС)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информация,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полученная в результате 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Индикативные показатели, характеризующие различные аспекты подконтрольной сферы и осуществления контроля (надзора)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rPr>
          <w:trHeight w:val="689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10561" w:leader="none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580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по 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результатам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 (Д 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не=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не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выяв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по результатам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которых не было выявлено нарушений;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611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Среднее 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мероприятий, проведенных в отношении одной организации (ЖСК)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сред)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Индикативные показатели, характеризующие качество проводимых мероприятий, в том числе в части их направленности на устранение максимального объема потенциального вреда (ущерба) охраняемым законом ценностям: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проведенных мероприятий в отношении контролируемых лиц (ЖСК)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показатель  учитывает суммарное количество мероприятий (контрольных (надзорных) и профилактических), проведенных в отношении контролируемых лиц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(ЖСК)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контролируемых лиц (ЖСК), у которых были устранены нарушения, выявленные в  результате проведения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прошедших в течение последних трех лет программы переобучения или повышения квалификации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показатель устанавливается из числа штатных единиц, в должностные обязанности которых входят выполнение контрольно-надзорных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В.2.8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 жалоб, в отношении которых контрольным (надзорным) органом был нарушен срок рассмотрения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В.2.9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жалоб, поданных контролируемыми лицами (ЖСК) в досудебном порядке, по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итогам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Индикативные показатели, характеризующие параметры проведенных контрольными (надзорными) органами мероприятий: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Контрольные (надзорные)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Общее количество проведенных контрольных (надзорных) мероприятий в отношении ЖСК (внеплановые документарные проверки, мероприятия без взаимодействия)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 количество проведенных внеплановых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контрольных (надзорных) мероприятий в отношении 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без взаимодействия с контролируемыми лицами (ЖСК), от общего количества проведенных контрольных (надзорных)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 без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вз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без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вз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контрольных (надзорных) мероприятий, проведенных без взаимодействия с контролируемыми лицами (ЖСК);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В.3.1.6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с взаимодействием с контролируемыми лицами (внеплановых документарных проверок)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(ЖСК), проведенных с использованием государственной информационно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й системы «Типовое облачное решение по автоматизации контрольной (надзорной) деятельности», от общего количество контрольных (надзорных) мероприятий, проведенных с взаимодействием с контролируемыми лицами  (ЖСК) (внеплановых документарных проверок) (Д тор)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тор=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тор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рольных (надзорных)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  проведенных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 взаимодействием с контролируемыми лицами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проведенных с использованием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информационной системы «Типовое облачное решение по автоматизации контрольной (надзорной) деятельности»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(внеплановых документарных проверок), проведенных с взаимодействием с контролируемым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ами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 проведенных в отношении 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внеплановых контрольных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надзорных) мероприятий (внеплановых документарных проверок),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контрольных (надзорных) мероприятий, по результатам которых выявлены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 на результаты которых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поданы жалобы (Д жалоб)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жалоб=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жалоб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жалоб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проведенных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контрольно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внеплановых документарных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проверок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 отношении 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на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результаты которых поданы жалобы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(внеплановых документарных проверок), проведенных с взаимодействием с контролируемым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ами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, в отношении 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проверок), результаты которых были признаны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недействительными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нед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нед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проверок), проведенных в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отношении ЖСК,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результаты которых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были признаны недействительным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в том числе по решению суда и по предписанию органов прокуратуры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рольных (надзорных)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(внеплановых документарных проверок),  проведенных с взаимодействием с контролируемым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ами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 отношении 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2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ind w:right="-2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контрольных (надзорных) мероприятий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(внеплановых документарных проверок), проведенных  с нарушениями требований законодательства Российской Федерации, по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результатам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выявления которых к должностным лицам контрольных (надзорных) органов, проводившим такие контрольные (надзорные) мероприятия, применены меры дисциплинарного, административного наказания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которые не удалось провести в связи с отсутствием контролируемого лица (ЖСК) по месту нахождения, указанному в государственных информационных ресурсах 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отсут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отсут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которые не удалось провести в связи с отсутствием контролируемого лица по месту нахождения, указанному в государственных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информационных ресурсах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взаим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общее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конт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(внеплановых документарных проверок), проведенных с взаимодействием с контролируемым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лицами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в отношении 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привлечением денежных средств участников строительства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по результатам которых материалы о выявленных нарушениях переданы в уполномоченные органы для возбуждения уголовных дел (Д угол)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угол=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угол –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проведенных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ЖСК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результатам которых материалы о выявленных нарушениях переданы в уполномоченные органы для возбуждения уголовных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выяв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 (внеплановых документарных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ЖСК,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строительства, по результатам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которых были выявлены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В.3.1.18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Общая сумма наложенных по итогам проверок административных штрафов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В.3.1.19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Общая сумма уплаченных (взысканных)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административных штрафов, наложенных по итогам контрольных (надзорных)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В.3.1.20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Отношение  суммы взысканных административных штрафов к общей сумме наложенных административных штрафов (% взыск)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взыск= В/Н 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сумма взысканных штрафов,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сумма наложенных штрафов,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В.3.1.21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Средний размер наложенного административного штрафа (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Шср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Кштр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сумма наложенных штрафов,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административных дел, по результатам которых назначено наказание в виде административного штрафа,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Профилактические мероприятия: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(надзорной)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контролируемых лиц (ЖСК), в отношении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которых проведены профилактические мероприятия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контролируемых лиц (ЖСК), в отношении которых были проведены обязательные профилактические визиты, от общего количества запланированных обязательных профилактических визитов (Д визит)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визит=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проведены обязательные профилактические визиты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план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запланированы обязательные профилактические 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В.3.2.4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Доля контролируемых лиц (ЖСК), в отношении которых проведены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профилактические мероприятия (Д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мер)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мер=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мер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ЖСК,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проведены профилактические мероприятия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общ –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(ЖСК),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Style w:val="694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трудовых, материальных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финансовых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В.4.1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накладных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расходов, прочих расходов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документы 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В.4.3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  <w:t xml:space="preserve">Количество штатных единиц, в должностные обязанности которых входит выполнение контрольно-надзорных функций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9"/>
      <w:bookmarkEnd w:id="2"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03.07.2017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955/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</w:t>
      </w:r>
      <w:r>
        <w:rPr>
          <w:rFonts w:ascii="Times New Roman" w:hAnsi="Times New Roman" w:cs="Times New Roman"/>
          <w:sz w:val="28"/>
          <w:szCs w:val="28"/>
        </w:rPr>
        <w:t xml:space="preserve">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</w:t>
      </w:r>
      <w:r>
        <w:rPr>
          <w:rFonts w:ascii="Times New Roman" w:hAnsi="Times New Roman" w:cs="Times New Roman"/>
          <w:sz w:val="28"/>
          <w:szCs w:val="28"/>
        </w:rPr>
        <w:t xml:space="preserve">долевого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134" w:right="820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5520452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69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5"/>
    <w:uiPriority w:val="99"/>
  </w:style>
  <w:style w:type="character" w:styleId="45">
    <w:name w:val="Footer Char"/>
    <w:basedOn w:val="690"/>
    <w:link w:val="697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89"/>
    <w:next w:val="68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89"/>
    <w:next w:val="68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89"/>
    <w:next w:val="68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89"/>
    <w:next w:val="68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89"/>
    <w:next w:val="68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89"/>
    <w:next w:val="68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89"/>
    <w:next w:val="68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89"/>
    <w:next w:val="68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spacing w:after="160" w:line="259" w:lineRule="auto"/>
    </w:p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>
    <w:name w:val="Hyperlink"/>
    <w:uiPriority w:val="99"/>
    <w:unhideWhenUsed/>
    <w:qFormat/>
    <w:rPr>
      <w:color w:val="0563c1"/>
      <w:u w:val="single"/>
    </w:rPr>
  </w:style>
  <w:style w:type="paragraph" w:styleId="694" w:customStyle="1">
    <w:name w:val="ConsPlusNormal"/>
    <w:qFormat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695">
    <w:name w:val="Header"/>
    <w:basedOn w:val="689"/>
    <w:link w:val="69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96" w:customStyle="1">
    <w:name w:val="Верхний колонтитул Знак"/>
    <w:basedOn w:val="690"/>
    <w:link w:val="695"/>
    <w:uiPriority w:val="99"/>
  </w:style>
  <w:style w:type="paragraph" w:styleId="697">
    <w:name w:val="Footer"/>
    <w:basedOn w:val="689"/>
    <w:link w:val="69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98" w:customStyle="1">
    <w:name w:val="Нижний колонтитул Знак"/>
    <w:basedOn w:val="690"/>
    <w:link w:val="697"/>
    <w:uiPriority w:val="99"/>
  </w:style>
  <w:style w:type="paragraph" w:styleId="699">
    <w:name w:val="Balloon Text"/>
    <w:basedOn w:val="689"/>
    <w:link w:val="70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0" w:customStyle="1">
    <w:name w:val="Текст выноски Знак"/>
    <w:basedOn w:val="690"/>
    <w:link w:val="699"/>
    <w:uiPriority w:val="99"/>
    <w:semiHidden/>
    <w:rPr>
      <w:rFonts w:ascii="Segoe UI" w:hAnsi="Segoe UI" w:cs="Segoe UI"/>
      <w:sz w:val="18"/>
      <w:szCs w:val="18"/>
    </w:rPr>
  </w:style>
  <w:style w:type="paragraph" w:styleId="701">
    <w:name w:val="List Paragraph"/>
    <w:basedOn w:val="689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1DE0-4703-4296-B2F3-24C5772C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revision>4</cp:revision>
  <dcterms:created xsi:type="dcterms:W3CDTF">2024-06-13T04:37:00Z</dcterms:created>
  <dcterms:modified xsi:type="dcterms:W3CDTF">2025-02-11T05:48:18Z</dcterms:modified>
</cp:coreProperties>
</file>