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jc w:val="center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jc w:val="center"/>
        <w:widowControl w:val="off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МИНИСТЕРСТВО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jc w:val="center"/>
        <w:widowControl w:val="off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СТРОИТЕЛЬСТВА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jc w:val="center"/>
        <w:widowControl w:val="off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НОВОСИБИРСКОЙ ОБЛАСТИ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jc w:val="center"/>
        <w:widowControl w:val="off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jc w:val="center"/>
        <w:widowControl w:val="off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ПРИКАЗ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jc w:val="center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71"/>
        <w:gridCol w:w="4950"/>
      </w:tblGrid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widowControl w:val="off"/>
              <w:rPr>
                <w:color w:val="auto"/>
                <w:sz w:val="28"/>
                <w:szCs w:val="28"/>
                <w:u w:val="none"/>
              </w:rPr>
            </w:pPr>
            <w:r>
              <w:rPr>
                <w:color w:val="auto"/>
                <w:sz w:val="28"/>
                <w:szCs w:val="28"/>
                <w:u w:val="none"/>
              </w:rPr>
              <w:t xml:space="preserve">_____________</w:t>
            </w:r>
            <w:r>
              <w:rPr>
                <w:color w:val="auto"/>
                <w:sz w:val="28"/>
                <w:szCs w:val="28"/>
                <w:u w:val="none"/>
              </w:rPr>
            </w:r>
            <w:r>
              <w:rPr>
                <w:color w:val="auto"/>
                <w:sz w:val="28"/>
                <w:szCs w:val="28"/>
                <w:u w:val="none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right"/>
              <w:widowControl w:val="off"/>
              <w:rPr>
                <w:color w:val="auto"/>
                <w:sz w:val="28"/>
                <w:szCs w:val="28"/>
                <w:u w:val="none"/>
              </w:rPr>
            </w:pPr>
            <w:r>
              <w:rPr>
                <w:color w:val="auto"/>
                <w:sz w:val="28"/>
                <w:szCs w:val="28"/>
                <w:u w:val="none"/>
              </w:rPr>
              <w:t xml:space="preserve">№ ______</w:t>
            </w:r>
            <w:r>
              <w:rPr>
                <w:color w:val="auto"/>
                <w:sz w:val="28"/>
                <w:szCs w:val="28"/>
                <w:u w:val="none"/>
              </w:rPr>
            </w:r>
            <w:r>
              <w:rPr>
                <w:color w:val="auto"/>
                <w:sz w:val="28"/>
                <w:szCs w:val="28"/>
                <w:u w:val="none"/>
              </w:rPr>
            </w:r>
          </w:p>
        </w:tc>
      </w:tr>
    </w:tbl>
    <w:p>
      <w:pPr>
        <w:pStyle w:val="867"/>
        <w:jc w:val="center"/>
        <w:tabs>
          <w:tab w:val="left" w:pos="1200" w:leader="none"/>
        </w:tabs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г. Новосибирск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</w:p>
    <w:p>
      <w:pPr>
        <w:pStyle w:val="867"/>
        <w:jc w:val="center"/>
        <w:tabs>
          <w:tab w:val="left" w:pos="1200" w:leader="none"/>
        </w:tabs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</w:p>
    <w:p>
      <w:pPr>
        <w:pStyle w:val="867"/>
        <w:jc w:val="center"/>
        <w:tabs>
          <w:tab w:val="left" w:pos="1200" w:leader="none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Порядке образования и работы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технических комиссий по установлению причин нарушения законодательства о градостроительной деятельно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сти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требованиях к форме и содержанию документов, составляемых этими комиссиями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pStyle w:val="867"/>
        <w:jc w:val="center"/>
        <w:tabs>
          <w:tab w:val="left" w:pos="1200" w:leader="none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pStyle w:val="867"/>
        <w:jc w:val="center"/>
        <w:tabs>
          <w:tab w:val="left" w:pos="1200" w:leader="none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ind w:firstLine="708"/>
        <w:jc w:val="both"/>
        <w:widowControl w:val="off"/>
        <w:rPr>
          <w:color w:val="auto"/>
          <w:sz w:val="28"/>
          <w:szCs w:val="28"/>
          <w14:ligatures w14:val="none"/>
        </w:rPr>
      </w:pPr>
      <w:r>
        <w:rPr>
          <w:b w:val="0"/>
          <w:bCs w:val="0"/>
          <w:color w:val="auto"/>
          <w:sz w:val="28"/>
          <w:szCs w:val="28"/>
          <w:highlight w:val="none"/>
        </w:rPr>
      </w:r>
      <w:r>
        <w:rPr>
          <w:b w:val="0"/>
          <w:bCs w:val="0"/>
          <w:color w:val="auto"/>
          <w:sz w:val="28"/>
          <w:szCs w:val="28"/>
          <w:highlight w:val="none"/>
        </w:rPr>
        <w:t xml:space="preserve">На основании статьи 62 Градостроительного кодекса Российской Федерации, </w:t>
      </w:r>
      <w:r>
        <w:rPr>
          <w:b w:val="0"/>
          <w:bCs w:val="0"/>
          <w:color w:val="auto"/>
          <w:sz w:val="28"/>
          <w:szCs w:val="28"/>
          <w:highlight w:val="none"/>
        </w:rPr>
        <w:t xml:space="preserve">постановления Администрации Новосибирской области от 27.12.2006 № </w:t>
      </w:r>
      <w:r>
        <w:rPr>
          <w:color w:val="auto"/>
          <w:sz w:val="28"/>
          <w:szCs w:val="28"/>
          <w:highlight w:val="none"/>
        </w:rPr>
        <w:t xml:space="preserve">100-па «О </w:t>
      </w:r>
      <w:r>
        <w:rPr>
          <w:color w:val="auto"/>
          <w:sz w:val="28"/>
          <w:szCs w:val="28"/>
        </w:rPr>
        <w:t xml:space="preserve">порядке </w:t>
      </w:r>
      <w:r>
        <w:rPr>
          <w:b w:val="0"/>
          <w:bCs w:val="0"/>
          <w:color w:val="auto"/>
          <w:sz w:val="28"/>
          <w:szCs w:val="28"/>
          <w:highlight w:val="none"/>
        </w:rPr>
        <w:t xml:space="preserve">установления областным исполнительным органом </w:t>
      </w:r>
      <w:r>
        <w:rPr>
          <w:b w:val="0"/>
          <w:bCs w:val="0"/>
          <w:color w:val="auto"/>
          <w:sz w:val="28"/>
          <w:szCs w:val="28"/>
          <w:highlight w:val="none"/>
        </w:rPr>
        <w:t xml:space="preserve">государственной власти Новосибирской области причин</w:t>
      </w:r>
      <w:r>
        <w:rPr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  <w:highlight w:val="none"/>
        </w:rPr>
        <w:t xml:space="preserve">нарушения законодательства о градостроительной деятельности</w:t>
      </w:r>
      <w:r>
        <w:rPr>
          <w:color w:val="auto"/>
          <w:sz w:val="28"/>
          <w:szCs w:val="28"/>
        </w:rPr>
        <w:t xml:space="preserve">»</w:t>
      </w:r>
      <w:r>
        <w:rPr>
          <w:b/>
          <w:color w:val="auto"/>
          <w:sz w:val="28"/>
          <w:szCs w:val="28"/>
          <w:highlight w:val="none"/>
        </w:rPr>
        <w:t xml:space="preserve"> </w:t>
      </w:r>
      <w:r>
        <w:rPr>
          <w:b/>
          <w:color w:val="auto"/>
          <w:sz w:val="28"/>
          <w:szCs w:val="28"/>
        </w:rPr>
        <w:t xml:space="preserve">п р и к а з ы в а ю</w:t>
      </w:r>
      <w:r>
        <w:rPr>
          <w:b/>
          <w:color w:val="auto"/>
          <w:sz w:val="28"/>
          <w:szCs w:val="28"/>
        </w:rPr>
        <w:t xml:space="preserve">:</w:t>
      </w:r>
      <w:r>
        <w:rPr>
          <w:color w:val="auto"/>
          <w:sz w:val="28"/>
          <w:szCs w:val="28"/>
          <w14:ligatures w14:val="none"/>
        </w:rPr>
      </w:r>
      <w:r>
        <w:rPr>
          <w:color w:val="auto"/>
          <w:sz w:val="28"/>
          <w:szCs w:val="28"/>
          <w14:ligatures w14:val="none"/>
        </w:rPr>
      </w:r>
    </w:p>
    <w:p>
      <w:pPr>
        <w:pStyle w:val="861"/>
        <w:ind w:firstLine="720"/>
        <w:jc w:val="both"/>
        <w:widowControl w:val="off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Установить: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61"/>
        <w:ind w:firstLine="720"/>
        <w:jc w:val="both"/>
        <w:widowControl w:val="off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1) Порядок образования и работы технических комиссий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 установлению причин нарушения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законодательства о градостроительной деятельности на территории Новосибирской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согласно приложению № 1 к настоящему приказу;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61"/>
        <w:ind w:firstLine="720"/>
        <w:jc w:val="both"/>
        <w:widowControl w:val="off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t xml:space="preserve">2) Требования к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форме и содержанию документов, составляемых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техническими комиссиями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 установлению причин нарушения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законодательства о градостроительной деятельности на территории Новосибирской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области согласно приложению № 2 к настоящему приказу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861"/>
        <w:ind w:firstLine="720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2. </w:t>
      </w:r>
      <w:r>
        <w:rPr>
          <w:color w:val="auto"/>
          <w:sz w:val="28"/>
          <w:szCs w:val="28"/>
        </w:rPr>
        <w:t xml:space="preserve">Контроль за исполнением приказа оставляю за собой.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0"/>
        <w:gridCol w:w="4963"/>
        <w:gridCol w:w="2118"/>
      </w:tblGrid>
      <w:tr>
        <w:tblPrEx/>
        <w:trPr/>
        <w:tc>
          <w:tcPr>
            <w:shd w:val="clear" w:color="auto" w:fill="auto"/>
            <w:tcW w:w="2943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Министр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shd w:val="clear" w:color="auto" w:fill="auto"/>
            <w:tcW w:w="5203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color w:val="f2f2f2" w:themeColor="background1" w:themeShade="F2"/>
                <w:sz w:val="28"/>
                <w:szCs w:val="28"/>
              </w:rPr>
            </w:pPr>
            <w:r>
              <w:rPr>
                <w:rFonts w:eastAsia="Calibri"/>
                <w:color w:val="f2f2f2" w:themeColor="background1" w:themeShade="F2"/>
                <w:sz w:val="28"/>
                <w:szCs w:val="28"/>
              </w:rPr>
              <w:t xml:space="preserve">[МЕСТО ДЛЯ ПОДПИСИ]</w:t>
            </w:r>
            <w:r>
              <w:rPr>
                <w:rFonts w:eastAsia="Calibri"/>
                <w:color w:val="f2f2f2" w:themeColor="background1" w:themeShade="F2"/>
                <w:sz w:val="28"/>
                <w:szCs w:val="28"/>
              </w:rPr>
            </w:r>
            <w:r>
              <w:rPr>
                <w:rFonts w:eastAsia="Calibri"/>
                <w:color w:val="f2f2f2" w:themeColor="background1" w:themeShade="F2"/>
                <w:sz w:val="28"/>
                <w:szCs w:val="28"/>
              </w:rPr>
            </w:r>
          </w:p>
        </w:tc>
        <w:tc>
          <w:tcPr>
            <w:shd w:val="clear" w:color="auto" w:fill="auto"/>
            <w:tcW w:w="2168" w:type="dxa"/>
            <w:textDirection w:val="lrTb"/>
            <w:noWrap w:val="false"/>
          </w:tcPr>
          <w:p>
            <w:pPr>
              <w:jc w:val="right"/>
              <w:widowControl w:val="off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Д.Н. Богомолов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</w:tr>
    </w:tbl>
    <w:p>
      <w:pPr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widowControl w:val="off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Е.В. Самсонова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pStyle w:val="860"/>
        <w:jc w:val="left"/>
        <w:spacing w:after="0" w:line="240" w:lineRule="auto"/>
        <w:rPr>
          <w:color w:val="auto"/>
          <w:sz w:val="18"/>
          <w:szCs w:val="18"/>
        </w:rPr>
      </w:pPr>
      <w:r>
        <w:rPr>
          <w:color w:val="auto"/>
          <w:sz w:val="22"/>
          <w:szCs w:val="22"/>
        </w:rPr>
        <w:t xml:space="preserve">(383) 228 64 30</w:t>
      </w:r>
      <w:r>
        <w:rPr>
          <w:color w:val="auto"/>
          <w:sz w:val="18"/>
          <w:szCs w:val="1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color w:val="auto"/>
          <w:sz w:val="18"/>
          <w:szCs w:val="1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850" w:right="567" w:bottom="850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0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864"/>
    <w:link w:val="861"/>
    <w:uiPriority w:val="9"/>
    <w:rPr>
      <w:rFonts w:ascii="Arial" w:hAnsi="Arial" w:eastAsia="Arial" w:cs="Arial"/>
      <w:sz w:val="40"/>
      <w:szCs w:val="40"/>
    </w:rPr>
  </w:style>
  <w:style w:type="paragraph" w:styleId="691">
    <w:name w:val="Heading 2"/>
    <w:basedOn w:val="860"/>
    <w:next w:val="860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basedOn w:val="864"/>
    <w:link w:val="691"/>
    <w:uiPriority w:val="9"/>
    <w:rPr>
      <w:rFonts w:ascii="Arial" w:hAnsi="Arial" w:eastAsia="Arial" w:cs="Arial"/>
      <w:sz w:val="34"/>
    </w:rPr>
  </w:style>
  <w:style w:type="character" w:styleId="693">
    <w:name w:val="Heading 3 Char"/>
    <w:basedOn w:val="864"/>
    <w:link w:val="862"/>
    <w:uiPriority w:val="9"/>
    <w:rPr>
      <w:rFonts w:ascii="Arial" w:hAnsi="Arial" w:eastAsia="Arial" w:cs="Arial"/>
      <w:sz w:val="30"/>
      <w:szCs w:val="30"/>
    </w:rPr>
  </w:style>
  <w:style w:type="character" w:styleId="694">
    <w:name w:val="Heading 4 Char"/>
    <w:basedOn w:val="864"/>
    <w:link w:val="86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60"/>
    <w:next w:val="860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basedOn w:val="864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60"/>
    <w:next w:val="860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basedOn w:val="864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60"/>
    <w:next w:val="860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basedOn w:val="864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60"/>
    <w:next w:val="860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basedOn w:val="864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0"/>
    <w:next w:val="860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basedOn w:val="86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0"/>
    <w:next w:val="860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4"/>
    <w:link w:val="706"/>
    <w:uiPriority w:val="10"/>
    <w:rPr>
      <w:sz w:val="48"/>
      <w:szCs w:val="48"/>
    </w:rPr>
  </w:style>
  <w:style w:type="paragraph" w:styleId="708">
    <w:name w:val="Subtitle"/>
    <w:basedOn w:val="860"/>
    <w:next w:val="860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4"/>
    <w:link w:val="708"/>
    <w:uiPriority w:val="11"/>
    <w:rPr>
      <w:sz w:val="24"/>
      <w:szCs w:val="24"/>
    </w:rPr>
  </w:style>
  <w:style w:type="paragraph" w:styleId="710">
    <w:name w:val="Quote"/>
    <w:basedOn w:val="860"/>
    <w:next w:val="860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0"/>
    <w:next w:val="860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4"/>
    <w:link w:val="879"/>
    <w:uiPriority w:val="99"/>
  </w:style>
  <w:style w:type="character" w:styleId="715">
    <w:name w:val="Footer Char"/>
    <w:basedOn w:val="864"/>
    <w:link w:val="881"/>
    <w:uiPriority w:val="99"/>
  </w:style>
  <w:style w:type="paragraph" w:styleId="716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81"/>
    <w:uiPriority w:val="99"/>
  </w:style>
  <w:style w:type="table" w:styleId="718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7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8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9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0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1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2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4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4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61">
    <w:name w:val="Heading 1"/>
    <w:basedOn w:val="860"/>
    <w:next w:val="860"/>
    <w:link w:val="873"/>
    <w:qFormat/>
    <w:pPr>
      <w:keepNext/>
      <w:outlineLvl w:val="0"/>
    </w:pPr>
    <w:rPr>
      <w:szCs w:val="24"/>
    </w:rPr>
  </w:style>
  <w:style w:type="paragraph" w:styleId="862">
    <w:name w:val="Heading 3"/>
    <w:basedOn w:val="860"/>
    <w:next w:val="860"/>
    <w:link w:val="87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63">
    <w:name w:val="Heading 4"/>
    <w:basedOn w:val="860"/>
    <w:next w:val="860"/>
    <w:link w:val="875"/>
    <w:qFormat/>
    <w:pPr>
      <w:keepNext/>
      <w:spacing w:before="240" w:after="60"/>
      <w:outlineLvl w:val="3"/>
    </w:pPr>
    <w:rPr>
      <w:b/>
      <w:bCs/>
    </w:rPr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paragraph" w:styleId="86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8">
    <w:name w:val="List Paragraph"/>
    <w:basedOn w:val="860"/>
    <w:uiPriority w:val="34"/>
    <w:qFormat/>
    <w:pPr>
      <w:contextualSpacing/>
      <w:ind w:left="720"/>
    </w:pPr>
  </w:style>
  <w:style w:type="paragraph" w:styleId="869">
    <w:name w:val="Balloon Text"/>
    <w:basedOn w:val="860"/>
    <w:link w:val="87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0" w:customStyle="1">
    <w:name w:val="Текст выноски Знак"/>
    <w:basedOn w:val="864"/>
    <w:link w:val="86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71">
    <w:name w:val="Hyperlink"/>
    <w:basedOn w:val="864"/>
    <w:uiPriority w:val="99"/>
    <w:semiHidden/>
    <w:unhideWhenUsed/>
    <w:rPr>
      <w:color w:val="0000ff"/>
      <w:u w:val="single"/>
    </w:rPr>
  </w:style>
  <w:style w:type="table" w:styleId="872">
    <w:name w:val="Table Grid"/>
    <w:basedOn w:val="86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3" w:customStyle="1">
    <w:name w:val="Заголовок 1 Знак"/>
    <w:basedOn w:val="864"/>
    <w:link w:val="861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74" w:customStyle="1">
    <w:name w:val="Заголовок 3 Знак"/>
    <w:basedOn w:val="864"/>
    <w:link w:val="862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875" w:customStyle="1">
    <w:name w:val="Заголовок 4 Знак"/>
    <w:basedOn w:val="864"/>
    <w:link w:val="863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76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877">
    <w:name w:val="Strong"/>
    <w:basedOn w:val="864"/>
    <w:uiPriority w:val="22"/>
    <w:qFormat/>
    <w:rPr>
      <w:b/>
      <w:bCs/>
    </w:rPr>
  </w:style>
  <w:style w:type="paragraph" w:styleId="878">
    <w:name w:val="Normal (Web)"/>
    <w:basedOn w:val="86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879">
    <w:name w:val="Header"/>
    <w:basedOn w:val="860"/>
    <w:link w:val="8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0" w:customStyle="1">
    <w:name w:val="Верхний колонтитул Знак"/>
    <w:basedOn w:val="864"/>
    <w:link w:val="879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81">
    <w:name w:val="Footer"/>
    <w:basedOn w:val="860"/>
    <w:link w:val="8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"/>
    <w:basedOn w:val="864"/>
    <w:link w:val="88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83" w:customStyle="1">
    <w:name w:val="Верхний колонтитул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4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CF242-3246-4D4E-8AF8-2DC267AC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Лариса Владимировна</dc:creator>
  <cp:revision>19</cp:revision>
  <dcterms:created xsi:type="dcterms:W3CDTF">2022-04-11T04:58:00Z</dcterms:created>
  <dcterms:modified xsi:type="dcterms:W3CDTF">2024-11-19T08:32:10Z</dcterms:modified>
</cp:coreProperties>
</file>