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commentsExtensible.xml" ContentType="application/vnd.openxmlformats-officedocument.wordprocessingml.commentsExtensi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bookmarkStart w:id="0" w:name="undefined"/>
      <w:r>
        <w:rPr>
          <w:highlight w:val="none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проекту постановления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____________ № 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«ПРИЛОЖЕНИЕ № 6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постановлению Правительства Новосибирской области от 20.02.2015 № 68-п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9"/>
        <w:ind w:left="5954"/>
        <w:jc w:val="center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869"/>
        <w:ind w:left="5954"/>
        <w:jc w:val="center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869"/>
        <w:ind w:left="5954"/>
        <w:jc w:val="center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86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предоставления субсидии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 областного бюджета Новосибирской области Фонду содействия развитию научно-технологической сферы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9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I. Общие положения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Настоящий порядок предоставления субсидии из областного бюджета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Новосибирской области Фонду содействия развитию научно-технологической сферы Новосибирской области (далее – Порядок) разработан в соответствии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пунктом 2 статьи 78.1 Бюджетного кодекса Российской Федерации, постановлением Правительства Российской Федерац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ии от 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иными нормативными правовыми актами Российской Фед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ерации и Новосибирской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Настоящий Порядок устанавливает цели, условия и порядок предоставления субсидии из областного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Фо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нду содействия развитию научно-технологической сферы Новосибирской области (далее – Фонд) в рамках реализации мероприятий государственной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«Стимулирование развития жилищного строительства в Новосибирской области», утвержденной постановлением Правительства Новосибирской области от 20.02.2015 № 68-п «Об утверждении государственной программы Новосибирской области «Стимулирование развития жилищно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 строительства в Новосибирской области» (далее – государственная программа).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 Субсидия из областного бюджета Новосибирской области (далее – Субсидия) предоставляется Фонду в целях финансового обеспечения затрат, связанных с организацией, проведением форума «Стратегии ускорения темпов строительства» (далее – Форум), в том числе 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основании гражданско-правовых договоров, исполнителями по которым являются физическое лицо, индивидуальный предприниматель либо юридическое лицо.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 Министерство строительства Новосибирской области (далее -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ны в установленном порядке лимиты бюджетных обязательств для предоставления субсидии в текущем финансовом году и плановом периоде в соответствии с законом Новосибирской области об областном бюджете (далее – Закон).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commentRangeStart w:id="0"/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Размер субсидии определяется Законом и рассчитывается при формировании проекта Закона (внесени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изменений в Закон) на основании подготовленных Фондом расчетов и обоснований расходов в целях финансового об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еспечения затрат, связанных с организацией, проведением Форума.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commentRangeEnd w:id="0"/>
      <w:r>
        <w:commentReference w:id="0"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 Информация о Субсидии из областного бюджета размещает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ся на едином портале бюджетной системы Российской Федерации в информационно-телекоммуникационной сети «Интернет» в соответстви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порядком размещения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такой информации, установленным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II. Условия и порядок предос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тавления субсидии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8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 Субсид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ся Фонду на основании соглашения, заключенного между Министерством и Фондом (далее – Соглашение),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на расчетный или корреспондентский счет, открытый Фондом в учреждении Центрального банка Российской Федерации или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кредитной организации, в соответствии с графиком перечисления субсидии, установленным Соглашением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Соглашение заключается в текущем финансовом году при условии доведения лимитов бюджетных обязательств министерством финансов и налоговой политики Новосибирск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ой области до Министерства.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Соглашение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заключается с использованием государственной 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нтегрированной информационной системы управления общественными финансами «Электронный бюджет» в соответствии с типовой формой, утвержденной приказом министерства финансов и налоговой политики Новосибирской области от 19.10.2017 № 57-НПА «Об утверждении тип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</w:t>
      </w:r>
      <w:commentRangeStart w:id="1"/>
      <w:r>
        <w:rPr>
          <w:rFonts w:ascii="Times New Roman" w:hAnsi="Times New Roman" w:cs="Times New Roman"/>
          <w:sz w:val="28"/>
          <w:szCs w:val="28"/>
          <w:highlight w:val="none"/>
        </w:rPr>
        <w:t xml:space="preserve">» (далее – приказ № 57-НПА).</w:t>
      </w:r>
      <w:commentRangeEnd w:id="1"/>
      <w:r>
        <w:commentReference w:id="1"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Соглашении о предоставлении субсидии должны содержаться: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условия предоставления субсидии, а также результаты, в целях достижения которых предоставляется субсидия;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порядок, срок, формы представления отчетов о достижении значений результатов предоставления субсидии, о расходах, источником финансового обеспечени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 которых является субсидия;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график перечисления и размер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 техническое задание на организацию и проведение Форума;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5) согласие Фонда и лиц, являющихся поставщиками (подрядчиками, исполнителями) по договорам (соглашениям), заключенным в целях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исполнения обязательств по договорам (соглашениям) о предоставлении субсидии, на осуществление Министерством в отношении их проверки соблюдения порядка и условий предоставления субсидии, в том числе в части достижения результатов предоставления субсидии,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9" w:tooltip="https://login.consultant.ru/link/?req=doc&amp;base=LAW&amp;n=480810&amp;dst=3704" w:history="1"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статьями 268.1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</w:t>
      </w:r>
      <w:hyperlink r:id="rId10" w:tooltip="https://login.consultant.ru/link/?req=doc&amp;base=LAW&amp;n=480810&amp;dst=3722" w:history="1"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269.2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Бюджетного коде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кса Российской Федерации;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6) запрет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приобретени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 Фондом, а также иными юридическими лицами, получающими средства на основании договоров, заключенных с Фондом, за счет полученных из соответствующего бюджета бюджетной системы Российской Федерации средств ино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зультатов предоставления этих средств иных операций, определенных </w:t>
      </w:r>
      <w:hyperlink w:tooltip="#P47" w:anchor="P47" w:history="1"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пунктом 4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Порядка;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7) положение о согласовании новых условий Соглашения или о расторжении Соглашения при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недостижении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согласия по новым условиям в случае уме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ньшения Министерству как получателю бюджетных средств ранее доведенных лимитов бюджетных обязательств, указанных в </w:t>
      </w:r>
      <w:hyperlink w:tooltip="#P45" w:anchor="P45" w:history="1"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4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Порядка, приводящего к невозможности предоставления субсидии в размере, определенном в Соглашении;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8) поло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жения о порядке и сроках возврата субсидии в областной бюджет Новосибирской области, а также остатка субсидии в случае образования не использованного в отчетном финансовом году остатка субсидии и отсутствия решения Министерства, принятого по согласованию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министерством финансов и налоговой политики Новосибирской области, о наличии потребности в указанных средствах.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 При реорганизации Фонда в форме слияния, присоединения или преобразования в Соглашение вносятся изменения путем заключения дополнительного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реорганизации Фонда в форме разделения, выделения, а также при ликвидации Фонда Соглашение расторгается с формирование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Фондом обязательствах, источником финансового обеспечения которых является субсидия, и возврате неисполь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зованного остатка субсидии в областной бюджет Новосибирской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Резу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ль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тат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предоставле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ия субсидии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«Организ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овано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проведени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и участие в выставочно-ярмарочных и конгрессных мероприятиях»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(направление расходов «Субсидия Фонду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содействия развитию научно-технологической сферы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в целях организации и проведения фо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рума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«Стратегии ускорения темпов строительства»)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Финансовое обеспечение Форума предусмотрено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пунктом 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Порядка, в соответствии с техническим заданием.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Точная дата завершения и конечное значение результ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ата устанавливается в Согл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ашении.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color w:val="auto"/>
          <w:highlight w:val="white"/>
        </w:rPr>
      </w:r>
      <w:bookmarkStart w:id="1" w:name="P69"/>
      <w:r>
        <w:rPr>
          <w:color w:val="auto"/>
          <w:highlight w:val="white"/>
        </w:rPr>
      </w:r>
      <w:bookmarkEnd w:id="1"/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9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 Для получения субсидии Фонд представляет в Министерство заявку на предоставление с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убсидии в срок не позднее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двадцатого числа месяца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, в котором планируется получение субсидии.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Заявка предст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авляется в форме письма, содержащего информацию о соблюдении требований, установленных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пунктом 10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Порядка, информацию о наличии остатков ранее предоставленной субсидии в соответствующем финансовом году на счете Фонда на дат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у представления заявки, а также согласие Фонда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субсидии, на осуществление Минис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терством проверок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порядка и условий предоставления субсидии в соответствии со </w:t>
      </w:r>
      <w:hyperlink r:id="rId11" w:tooltip="https://login.consultant.ru/link/?req=doc&amp;base=LAW&amp;n=480810&amp;dst=3704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none"/>
          </w:rPr>
          <w:t xml:space="preserve">статьями 268.1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и </w:t>
      </w:r>
      <w:hyperlink r:id="rId12" w:tooltip="https://login.consultant.ru/link/?req=doc&amp;base=LAW&amp;n=480810&amp;dst=3722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none"/>
          </w:rPr>
          <w:t xml:space="preserve">269.2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Министерство в течение пяти рабочих дней с момента представления заяв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ки рассматривает заявку, осуществляет проверку Фонда в порядке, установленном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пунктом 11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Порядка, на соответствие требованиям, указанным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пункте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10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Порядка, и принимает решение о предоставлении субсидии Фонду либо об отказе в предоставлении субсидии Фонду.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принятия решения об отказе в предоставлении субсидии Министерство в течение пяти рабочих дней со дня принятия решения направляет Фонду по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адресу, указанному в заявке, письменное уведомление с указанием причины такого отказа.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принятия решения о предоставлении субсидии Министерство осуществляет перечисление субсиди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 до конца текущего месяца.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Основаниями для отказа Фонду в предоставле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нии субсидий являются: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1) несоответствие представленных Фондом документов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требованиям, установленным настоящим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пунктом </w:t>
      </w:r>
      <w:commentRangeStart w:id="2"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Порядка</w:t>
      </w:r>
      <w:commentRangeEnd w:id="2"/>
      <w:r>
        <w:commentReference w:id="2"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или непредставление (представление не в полном объеме) указанных документов;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2) установление факта нед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остоверности представленной Фондом информации;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3) несоответствие Фонда требованиям, установленным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м 10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commentRangeStart w:id="3"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Порядка</w:t>
      </w:r>
      <w:commentRangeEnd w:id="3"/>
      <w:r>
        <w:commentReference w:id="3"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highlight w:val="none"/>
        </w:rPr>
      </w:r>
      <w:bookmarkStart w:id="2" w:name="P77"/>
      <w:r>
        <w:rPr>
          <w:highlight w:val="none"/>
        </w:rPr>
      </w:r>
      <w:bookmarkEnd w:id="2"/>
      <w:r>
        <w:rPr>
          <w:rFonts w:ascii="Times New Roman" w:hAnsi="Times New Roman" w:cs="Times New Roman"/>
          <w:sz w:val="28"/>
          <w:szCs w:val="28"/>
          <w:highlight w:val="none"/>
        </w:rPr>
        <w:t xml:space="preserve">10. Требования, которым должен соответствовать Фонд по состоянию не ранее чем на первое число месяца,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котором планируется предоставление су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бсидии: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Фонд не является иностранным юридическим лицом, в то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25 % (если иное не предусмотрено законодате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Фонд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Фонд не находится в составляемых в рамках реализации полномочий, предусмотренных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главой VII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Устава ООН, Советом Безопасности ООН или органами, специально созданными решениями 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Фонд не получает средства из областного бюджета на основании иных нормативных правовых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актов Новосибирской области на цели, указанные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пункте 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Порядка;</w:t>
      </w:r>
      <w:r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 Фонд не является иностранным агентом в соответствии с Федеральным </w:t>
      </w:r>
      <w:hyperlink r:id="rId13" w:tooltip="https://login.consultant.ru/link/?req=doc&amp;base=LAW&amp;n=46599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от 14.07.2022 № 255-ФЗ «О контроле за деятельностью лиц, находящихся под иностранным влиянием»;</w:t>
      </w:r>
      <w:r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 Фонда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на едином налоговом счете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отсутствует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или не превыша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размер, определенный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пунктом 3 статьи 47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7)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 Фонда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отсутств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ует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просрочен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Новосибирской облас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тью (за исключением случаев, установленных Правительством Новосибирской области);</w:t>
      </w:r>
      <w:r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8)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Фонд,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являющийся юридическим лицом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не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находи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в процессе реорганизации (за исключением реорганизации в форме присоединения к Фонду другого юридического лица), ликвидации, в 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его не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введена процедура банкротства, деятельность Фонда не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приостановлена в порядке, предусмотренном законодательством Российской Федерации;</w:t>
      </w:r>
      <w:r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9)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рее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стре дисквалифицирова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ном бухгалтере (при наличии) Фонда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</w:r>
      <w:bookmarkStart w:id="3" w:name="P87"/>
      <w:r>
        <w:rPr>
          <w:color w:val="auto"/>
          <w:highlight w:val="none"/>
        </w:rPr>
      </w:r>
      <w:bookmarkEnd w:id="3"/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11.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 Министерство на стадии проверки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документов, представленных в соответствии с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пунктом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9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Порядка, в рамках межведомственного информационного взаимодействия запрашивает в соответствующих органах и организациях следующие документы: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справку налогового органа о том,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что у Фонда на едином налоговом счете отсутствует или не превышает размер, определенный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 статьи 47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по состоянию не ранее чем на первое число месяца, в котором планируется предоставление субсиди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выписку из Единого государственного реестра юридических лиц, содержащую актуальные сведения о Фонде;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сведения об отсутствии в реестре дисквалифицированных лиц сведений о руководителе, членах коллегиального исполнительного органа, лице, исполняющем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функции единоличного исполнительного органа, и главном бухгалтере (при наличии) Фонда.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Фонд имеет право представить данные документы в Министерство по собственной инициативе.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Дополнительное соглашение к соглашению о предоставлении субсидии заключается: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при умень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шении размера субсидии по инициативе Министерства в случае уменьшения Министерству ранее доведенных лимитов бюджетных обязательств, указанных в </w:t>
      </w:r>
      <w:hyperlink r:id="rId14" w:tooltip="https://login.consultant.ru/link/?req=doc&amp;base=RLAW049&amp;n=181378&amp;dst=188922&amp;field=134&amp;date=28.03.2025" w:history="1"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пункте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Порядка, приводящего к невозможности предоставления субсидии в размере, определен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ном в соглашении о предоставлении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при внес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ении изменений в техническое задание.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Дополнительное соглашение заключается в течение д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вадцати рабочих дней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при возникновении обстоятельств, предусмотренных пунктом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12 Порядка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8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/>
          <w:b/>
          <w:sz w:val="28"/>
          <w:szCs w:val="28"/>
          <w:highlight w:val="none"/>
          <w:lang w:eastAsia="ru-RU"/>
        </w:rPr>
        <w:t xml:space="preserve">III. Требования к отчетности</w:t>
      </w: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14.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 Фонд не позднее тридцати рабочих дней по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сле окончания Форума представляет в Министерство отчет об осуществлении расходов, источником финансового обеспечения которых является субсидия, отчет о достижении значений результатов предоставления субсидии по формам, установленным </w:t>
      </w:r>
      <w:hyperlink r:id="rId15" w:tooltip="https://login.consultant.ru/link/?req=doc&amp;base=RLAW049&amp;n=172055" w:history="1">
        <w:r>
          <w:rPr>
            <w:rFonts w:ascii="Times New Roman" w:hAnsi="Times New Roman" w:eastAsia="Times New Roman"/>
            <w:sz w:val="28"/>
            <w:szCs w:val="28"/>
            <w:highlight w:val="none"/>
            <w:lang w:eastAsia="ru-RU"/>
          </w:rPr>
          <w:t xml:space="preserve">приказом</w:t>
        </w:r>
      </w:hyperlink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№ 57-НПА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с приложением подтверждающих документов.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15. 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М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инистерство осуществляет проверку и принятие представленных Фондом отчетов в течение десяти рабочих дней со дня их поступления, по результатам которой:</w:t>
      </w:r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1) принимает отчет;</w:t>
      </w:r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2) возвращает отчет Фонду на доработку при наличии замечаний.</w:t>
      </w:r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Фонд дорабатывает отче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т в течение пяти рабочих дней со дня его получения и представляет в Министерство доработанный отчет для проведения повторной проверки в порядке, установленном настоящим пунктом.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16. 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Фонд несет ответственность в соответствии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с действующим законодательством за своевременность и достоверность представленного отчета и прилагаемых документов.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/>
          <w:b/>
          <w:sz w:val="28"/>
          <w:szCs w:val="28"/>
          <w:highlight w:val="none"/>
          <w:lang w:eastAsia="ru-RU"/>
        </w:rPr>
        <w:t xml:space="preserve">IV. Требования об осуществлении контроля за соблюдением</w:t>
      </w: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  <w:lang w:eastAsia="ru-RU"/>
        </w:rPr>
        <w:t xml:space="preserve">условий и порядка предоставления субсидии</w:t>
      </w: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  <w:lang w:eastAsia="ru-RU"/>
        </w:rPr>
        <w:t xml:space="preserve">и ответственности за их нарушение</w:t>
      </w: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17. 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М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инистерство осуществляет проверку соблюдения Фондом порядка и условий предоставления субсидии, в том числе в части достижения результатов предоставления субсидии.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/>
        <w:ind w:firstLine="540"/>
        <w:jc w:val="both"/>
        <w:spacing w:before="220"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Органы государственного финансового контроля осуществляют проверку в соответствии со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статьями 268.1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и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269.2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Бюджетного кодекса Российской Федерации.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/>
        <w:ind w:firstLine="540"/>
        <w:jc w:val="both"/>
        <w:spacing w:before="220"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Мониторинг достижения результатов предоставления субсидии исходя из достижения значений результатов предоставления субсидии, определенных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 и по формам, которые установлены Министерством финансов Российской Федерации.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/>
        <w:ind w:firstLine="540"/>
        <w:jc w:val="both"/>
        <w:spacing w:before="220"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18.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 В сл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учае наличия неиспользованного остатка субсидии на конец отчетного года при отсутствии решения Министерства о наличии потребности в направлении в текущем финансовом году остатка субсидии, не использованного в отчетном финансовом году, на цели предоставлени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я субсидии (далее - потребность) сумма неиспользованного остатка субсидии подлежит возврату в областной бюджет в срок до 1 июня текущего финансового года.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/>
        <w:ind w:firstLine="540"/>
        <w:jc w:val="both"/>
        <w:spacing w:before="220"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19. В случае нарушений Фондом условий предоставления субсидии, выявленных в том числе по фактам прове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рок, проведенных Министерством и органом государственного финансового контроля, Министерство в течение десяти рабочих дней со дня установления факта нарушения направляет Фонду письмо с требованием о возврате субсидии.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/>
        <w:ind w:firstLine="540"/>
        <w:jc w:val="both"/>
        <w:spacing w:before="220"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Субсидия подлежит возврату в областно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й бюджет в течение 30 рабочих дней со дня получения Фондом требования о возврате.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/>
        <w:ind w:firstLine="540"/>
        <w:jc w:val="both"/>
        <w:spacing w:before="220"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Возврат субсидии осуществляется Фондом в полном объеме в случае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недостижения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значений результатов предоставления субсидии, установленных в </w:t>
      </w:r>
      <w:hyperlink w:tooltip="#p36" w:anchor="p36" w:history="1">
        <w:r>
          <w:rPr>
            <w:rFonts w:ascii="Times New Roman" w:hAnsi="Times New Roman"/>
            <w:sz w:val="28"/>
            <w:szCs w:val="28"/>
            <w:highlight w:val="none"/>
          </w:rPr>
          <w:t xml:space="preserve">пункте 8</w:t>
        </w:r>
      </w:hyperlink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Порядка.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/>
        <w:ind w:firstLine="540"/>
        <w:jc w:val="both"/>
        <w:spacing w:before="220"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 случае невозврата субсидии в указанные сроки Министерство обязано принять меры для возврата субсидии в судебном порядке.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/>
        <w:ind w:firstLine="540"/>
        <w:jc w:val="both"/>
        <w:spacing w:before="220"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20.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 Фонд несет ответ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ственность за нецелевое использование субсидии в со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ответствии с бюджетным законодательством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Российской Федерации.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/>
        <w:ind w:firstLine="540"/>
        <w:jc w:val="both"/>
        <w:spacing w:before="220"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21. Основанием для освобождения Фонда от применения мер ответственности является документально подтвержденное дейс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твие следующих обстоятельств, не зависящих от воли сторон соглашения, препятствующих исполнению соответствующих обязательств: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/>
        <w:ind w:firstLine="540"/>
        <w:jc w:val="both"/>
        <w:spacing w:before="220"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1) установление уровня реагирования на чрезвычайную ситуацию, подтвержденное соответствующим правовым актом;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/>
        <w:ind w:firstLine="540"/>
        <w:jc w:val="both"/>
        <w:spacing w:before="220"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2) инициатива Министе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рства о расторжении Соглашения.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/>
        <w:ind w:firstLine="540"/>
        <w:jc w:val="both"/>
        <w:spacing w:before="220"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/>
        <w:ind w:firstLine="540"/>
        <w:jc w:val="both"/>
        <w:spacing w:before="220"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/>
        <w:ind w:firstLine="540"/>
        <w:jc w:val="both"/>
        <w:spacing w:before="220"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/>
        <w:ind w:firstLine="540"/>
        <w:jc w:val="center"/>
        <w:spacing w:before="220"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_________»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sectPr>
      <w:headerReference w:type="default" r:id="rId8"/>
      <w:footnotePr/>
      <w:endnotePr/>
      <w:type w:val="nextPage"/>
      <w:pgSz w:w="11905" w:h="16838" w:orient="portrait"/>
      <w:pgMar w:top="1134" w:right="567" w:bottom="1134" w:left="1418" w:header="567" w:footer="567" w:gutter="0"/>
      <w:cols w:num="1" w:sep="0" w:space="720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mks" w:date="2025-07-02T09:45:17Z" w:initials="m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 тут требования</w:t>
      </w:r>
    </w:p>
  </w:comment>
  <w:comment w:id="2" w:author="mks" w:date="2025-07-02T09:43:58Z" w:initials="m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Тут требования</w:t>
      </w:r>
    </w:p>
  </w:comment>
  <w:comment w:id="1" w:author="mks" w:date="2025-07-02T09:31:17Z" w:initials="m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Ввести сокращение</w:t>
      </w:r>
    </w:p>
  </w:comment>
  <w:comment w:id="0" w:author="mks" w:date="2025-07-02T09:31:17Z" w:initials="m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Может быть перенести в пункт 4 вторым абзацем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3" w15:done="1"/>
  <w15:commentEx w15:paraId="0000000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ACF0374" w16cex:dateUtc="2025-07-02T02:45:17Z"/>
  <w16cex:commentExtensible w16cex:durableId="2A571843" w16cex:dateUtc="2025-07-02T02:43:58Z"/>
  <w16cex:commentExtensible w16cex:durableId="71500EB8" w16cex:dateUtc="2025-07-02T02:31:17Z"/>
  <w16cex:commentExtensible w16cex:durableId="44004BEF" w16cex:dateUtc="2025-07-02T02:31:1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ACF0374"/>
  <w16cid:commentId w16cid:paraId="00000002" w16cid:durableId="2A571843"/>
  <w16cid:commentId w16cid:paraId="00000003" w16cid:durableId="71500EB8"/>
  <w16cid:commentId w16cid:paraId="00000004" w16cid:durableId="44004B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8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ks">
    <w15:presenceInfo w15:providerId="Teamlab" w15:userId="mk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71">
    <w:name w:val="Heading 1"/>
    <w:basedOn w:val="670"/>
    <w:next w:val="670"/>
    <w:link w:val="7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2">
    <w:name w:val="Heading 2"/>
    <w:basedOn w:val="670"/>
    <w:next w:val="670"/>
    <w:link w:val="7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next w:val="670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next w:val="670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7">
    <w:name w:val="Heading 7"/>
    <w:basedOn w:val="670"/>
    <w:next w:val="670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8">
    <w:name w:val="Heading 8"/>
    <w:basedOn w:val="670"/>
    <w:next w:val="670"/>
    <w:link w:val="7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9">
    <w:name w:val="Heading 9"/>
    <w:basedOn w:val="670"/>
    <w:next w:val="670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paragraph" w:styleId="683">
    <w:name w:val="List Paragraph"/>
    <w:basedOn w:val="670"/>
    <w:uiPriority w:val="34"/>
    <w:qFormat/>
    <w:pPr>
      <w:contextualSpacing/>
      <w:ind w:left="720"/>
    </w:pPr>
  </w:style>
  <w:style w:type="paragraph" w:styleId="684">
    <w:name w:val="No Spacing"/>
    <w:uiPriority w:val="1"/>
    <w:qFormat/>
    <w:rPr>
      <w:lang w:eastAsia="zh-CN"/>
    </w:rPr>
  </w:style>
  <w:style w:type="paragraph" w:styleId="685">
    <w:name w:val="Title"/>
    <w:basedOn w:val="670"/>
    <w:next w:val="670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86">
    <w:name w:val="Subtitle"/>
    <w:basedOn w:val="670"/>
    <w:next w:val="670"/>
    <w:link w:val="753"/>
    <w:uiPriority w:val="11"/>
    <w:qFormat/>
    <w:pPr>
      <w:spacing w:before="200" w:after="200"/>
    </w:pPr>
    <w:rPr>
      <w:sz w:val="24"/>
      <w:szCs w:val="24"/>
    </w:rPr>
  </w:style>
  <w:style w:type="paragraph" w:styleId="687">
    <w:name w:val="Quote"/>
    <w:basedOn w:val="670"/>
    <w:next w:val="670"/>
    <w:link w:val="754"/>
    <w:uiPriority w:val="29"/>
    <w:qFormat/>
    <w:pPr>
      <w:ind w:left="720" w:right="720"/>
    </w:pPr>
    <w:rPr>
      <w:i/>
    </w:rPr>
  </w:style>
  <w:style w:type="paragraph" w:styleId="688">
    <w:name w:val="Intense Quote"/>
    <w:basedOn w:val="670"/>
    <w:next w:val="670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89">
    <w:name w:val="Header"/>
    <w:basedOn w:val="670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690">
    <w:name w:val="Footer"/>
    <w:basedOn w:val="670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691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692">
    <w:name w:val="Table Grid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693">
    <w:name w:val="Plain Table 1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694">
    <w:name w:val="Plain Table 2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695">
    <w:name w:val="Plain Table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696">
    <w:name w:val="Plain Table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697">
    <w:name w:val="Plain Table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698">
    <w:name w:val="Grid Table 1 Light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699">
    <w:name w:val="Grid Table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Grid Table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Grid Table 4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5 Dark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Grid Table 6 Colorful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7 Colorful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05">
    <w:name w:val="List Table 1 Light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06">
    <w:name w:val="List Table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07">
    <w:name w:val="List Table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08">
    <w:name w:val="List Table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List Table 5 Dark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List Table 6 Colorful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List Table 7 Colorful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712">
    <w:name w:val="Hyperlink"/>
    <w:uiPriority w:val="99"/>
    <w:unhideWhenUsed/>
    <w:rPr>
      <w:color w:val="0000ff"/>
      <w:u w:val="single"/>
    </w:rPr>
  </w:style>
  <w:style w:type="paragraph" w:styleId="713">
    <w:name w:val="footnote text"/>
    <w:basedOn w:val="670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714">
    <w:name w:val="footnote reference"/>
    <w:uiPriority w:val="99"/>
    <w:unhideWhenUsed/>
    <w:rPr>
      <w:vertAlign w:val="superscript"/>
    </w:rPr>
  </w:style>
  <w:style w:type="paragraph" w:styleId="715">
    <w:name w:val="endnote text"/>
    <w:basedOn w:val="670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716">
    <w:name w:val="endnote reference"/>
    <w:uiPriority w:val="99"/>
    <w:semiHidden/>
    <w:unhideWhenUsed/>
    <w:rPr>
      <w:vertAlign w:val="superscript"/>
    </w:rPr>
  </w:style>
  <w:style w:type="paragraph" w:styleId="717">
    <w:name w:val="toc 1"/>
    <w:basedOn w:val="670"/>
    <w:next w:val="670"/>
    <w:uiPriority w:val="39"/>
    <w:unhideWhenUsed/>
    <w:pPr>
      <w:spacing w:after="57"/>
    </w:pPr>
  </w:style>
  <w:style w:type="paragraph" w:styleId="718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719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720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721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722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723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724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725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726">
    <w:name w:val="TOC Heading"/>
    <w:uiPriority w:val="39"/>
    <w:unhideWhenUsed/>
    <w:rPr>
      <w:lang w:eastAsia="zh-CN"/>
    </w:rPr>
  </w:style>
  <w:style w:type="paragraph" w:styleId="727">
    <w:name w:val="table of figures"/>
    <w:basedOn w:val="670"/>
    <w:next w:val="670"/>
    <w:uiPriority w:val="99"/>
    <w:unhideWhenUsed/>
    <w:pPr>
      <w:spacing w:after="0"/>
    </w:pPr>
  </w:style>
  <w:style w:type="character" w:styleId="72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Heading 2 Char"/>
    <w:uiPriority w:val="9"/>
    <w:rPr>
      <w:rFonts w:ascii="Arial" w:hAnsi="Arial" w:eastAsia="Arial" w:cs="Arial"/>
      <w:sz w:val="34"/>
    </w:rPr>
  </w:style>
  <w:style w:type="character" w:styleId="730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37" w:customStyle="1">
    <w:name w:val="Title Char"/>
    <w:uiPriority w:val="10"/>
    <w:rPr>
      <w:sz w:val="48"/>
      <w:szCs w:val="48"/>
    </w:rPr>
  </w:style>
  <w:style w:type="character" w:styleId="738" w:customStyle="1">
    <w:name w:val="Subtitle Char"/>
    <w:uiPriority w:val="11"/>
    <w:rPr>
      <w:sz w:val="24"/>
      <w:szCs w:val="24"/>
    </w:rPr>
  </w:style>
  <w:style w:type="character" w:styleId="739" w:customStyle="1">
    <w:name w:val="Quote Char"/>
    <w:uiPriority w:val="29"/>
    <w:rPr>
      <w:i/>
    </w:rPr>
  </w:style>
  <w:style w:type="character" w:styleId="740" w:customStyle="1">
    <w:name w:val="Intense Quote Char"/>
    <w:uiPriority w:val="30"/>
    <w:rPr>
      <w:i/>
    </w:rPr>
  </w:style>
  <w:style w:type="character" w:styleId="741" w:customStyle="1">
    <w:name w:val="Footnote Text Char"/>
    <w:uiPriority w:val="99"/>
    <w:rPr>
      <w:sz w:val="18"/>
    </w:rPr>
  </w:style>
  <w:style w:type="character" w:styleId="742" w:customStyle="1">
    <w:name w:val="Endnote Text Char"/>
    <w:uiPriority w:val="99"/>
    <w:rPr>
      <w:sz w:val="20"/>
    </w:rPr>
  </w:style>
  <w:style w:type="character" w:styleId="743" w:customStyle="1">
    <w:name w:val="Заголовок 1 Знак"/>
    <w:link w:val="671"/>
    <w:uiPriority w:val="9"/>
    <w:rPr>
      <w:rFonts w:ascii="Arial" w:hAnsi="Arial" w:eastAsia="Arial" w:cs="Arial"/>
      <w:sz w:val="40"/>
      <w:szCs w:val="40"/>
    </w:rPr>
  </w:style>
  <w:style w:type="character" w:styleId="744" w:customStyle="1">
    <w:name w:val="Заголовок 2 Знак"/>
    <w:link w:val="672"/>
    <w:uiPriority w:val="9"/>
    <w:rPr>
      <w:rFonts w:ascii="Arial" w:hAnsi="Arial" w:eastAsia="Arial" w:cs="Arial"/>
      <w:sz w:val="34"/>
    </w:rPr>
  </w:style>
  <w:style w:type="character" w:styleId="745" w:customStyle="1">
    <w:name w:val="Заголовок 3 Знак"/>
    <w:link w:val="673"/>
    <w:uiPriority w:val="9"/>
    <w:rPr>
      <w:rFonts w:ascii="Arial" w:hAnsi="Arial" w:eastAsia="Arial" w:cs="Arial"/>
      <w:sz w:val="30"/>
      <w:szCs w:val="30"/>
    </w:rPr>
  </w:style>
  <w:style w:type="character" w:styleId="746" w:customStyle="1">
    <w:name w:val="Заголовок 4 Знак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Заголовок 5 Знак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Заголовок 6 Знак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749" w:customStyle="1">
    <w:name w:val="Заголовок 7 Знак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 w:customStyle="1">
    <w:name w:val="Заголовок 8 Знак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751" w:customStyle="1">
    <w:name w:val="Заголовок 9 Знак"/>
    <w:link w:val="679"/>
    <w:uiPriority w:val="9"/>
    <w:rPr>
      <w:rFonts w:ascii="Arial" w:hAnsi="Arial" w:eastAsia="Arial" w:cs="Arial"/>
      <w:i/>
      <w:iCs/>
      <w:sz w:val="21"/>
      <w:szCs w:val="21"/>
    </w:rPr>
  </w:style>
  <w:style w:type="character" w:styleId="752" w:customStyle="1">
    <w:name w:val="Заголовок Знак"/>
    <w:link w:val="685"/>
    <w:uiPriority w:val="10"/>
    <w:rPr>
      <w:sz w:val="48"/>
      <w:szCs w:val="48"/>
    </w:rPr>
  </w:style>
  <w:style w:type="character" w:styleId="753" w:customStyle="1">
    <w:name w:val="Подзаголовок Знак"/>
    <w:link w:val="686"/>
    <w:uiPriority w:val="11"/>
    <w:rPr>
      <w:sz w:val="24"/>
      <w:szCs w:val="24"/>
    </w:rPr>
  </w:style>
  <w:style w:type="character" w:styleId="754" w:customStyle="1">
    <w:name w:val="Цитата 2 Знак"/>
    <w:link w:val="687"/>
    <w:uiPriority w:val="29"/>
    <w:rPr>
      <w:i/>
    </w:rPr>
  </w:style>
  <w:style w:type="character" w:styleId="755" w:customStyle="1">
    <w:name w:val="Выделенная цитата Знак"/>
    <w:link w:val="688"/>
    <w:uiPriority w:val="30"/>
    <w:rPr>
      <w:i/>
    </w:rPr>
  </w:style>
  <w:style w:type="character" w:styleId="756" w:customStyle="1">
    <w:name w:val="Header Char"/>
    <w:uiPriority w:val="99"/>
  </w:style>
  <w:style w:type="character" w:styleId="757" w:customStyle="1">
    <w:name w:val="Footer Char"/>
    <w:uiPriority w:val="99"/>
  </w:style>
  <w:style w:type="character" w:styleId="758" w:customStyle="1">
    <w:name w:val="Caption Char"/>
    <w:uiPriority w:val="99"/>
  </w:style>
  <w:style w:type="table" w:styleId="759" w:customStyle="1">
    <w:name w:val="Table Grid Light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1 Light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2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3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1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2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3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4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5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6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2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3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3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4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4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5 Dark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5 Dark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6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6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7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7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1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2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3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4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 5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 6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1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2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3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4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 5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 6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865" w:customStyle="1">
    <w:name w:val="Текст сноски Знак"/>
    <w:link w:val="713"/>
    <w:uiPriority w:val="99"/>
    <w:rPr>
      <w:sz w:val="18"/>
    </w:rPr>
  </w:style>
  <w:style w:type="character" w:styleId="866" w:customStyle="1">
    <w:name w:val="Текст концевой сноски Знак"/>
    <w:link w:val="715"/>
    <w:uiPriority w:val="99"/>
    <w:rPr>
      <w:sz w:val="20"/>
    </w:rPr>
  </w:style>
  <w:style w:type="paragraph" w:styleId="867" w:customStyle="1">
    <w:name w:val="ConsPlusNormal"/>
    <w:link w:val="877"/>
    <w:pPr>
      <w:widowControl w:val="off"/>
    </w:pPr>
    <w:rPr>
      <w:rFonts w:eastAsia="Times New Roman" w:cs="Calibri"/>
      <w:sz w:val="22"/>
      <w:szCs w:val="22"/>
    </w:rPr>
  </w:style>
  <w:style w:type="paragraph" w:styleId="868" w:customStyle="1">
    <w:name w:val="ConsPlusNonformat"/>
    <w:pPr>
      <w:widowControl w:val="off"/>
    </w:pPr>
    <w:rPr>
      <w:rFonts w:ascii="Courier New" w:hAnsi="Courier New" w:eastAsia="Times New Roman" w:cs="Courier New"/>
      <w:szCs w:val="22"/>
    </w:rPr>
  </w:style>
  <w:style w:type="paragraph" w:styleId="869" w:customStyle="1">
    <w:name w:val="ConsPlusTitle"/>
    <w:pPr>
      <w:widowControl w:val="off"/>
    </w:pPr>
    <w:rPr>
      <w:rFonts w:eastAsia="Times New Roman" w:cs="Calibri"/>
      <w:b/>
      <w:sz w:val="22"/>
      <w:szCs w:val="22"/>
    </w:rPr>
  </w:style>
  <w:style w:type="paragraph" w:styleId="870" w:customStyle="1">
    <w:name w:val="ConsPlusCell"/>
    <w:pPr>
      <w:widowControl w:val="off"/>
    </w:pPr>
    <w:rPr>
      <w:rFonts w:ascii="Courier New" w:hAnsi="Courier New" w:eastAsia="Times New Roman" w:cs="Courier New"/>
      <w:szCs w:val="22"/>
    </w:rPr>
  </w:style>
  <w:style w:type="paragraph" w:styleId="871" w:customStyle="1">
    <w:name w:val="ConsPlusDocList"/>
    <w:pPr>
      <w:widowControl w:val="off"/>
    </w:pPr>
    <w:rPr>
      <w:rFonts w:eastAsia="Times New Roman" w:cs="Calibri"/>
      <w:sz w:val="22"/>
      <w:szCs w:val="22"/>
    </w:rPr>
  </w:style>
  <w:style w:type="paragraph" w:styleId="872" w:customStyle="1">
    <w:name w:val="ConsPlusTitlePage"/>
    <w:pPr>
      <w:widowControl w:val="off"/>
    </w:pPr>
    <w:rPr>
      <w:rFonts w:ascii="Tahoma" w:hAnsi="Tahoma" w:eastAsia="Times New Roman" w:cs="Tahoma"/>
      <w:szCs w:val="22"/>
    </w:rPr>
  </w:style>
  <w:style w:type="paragraph" w:styleId="873" w:customStyle="1">
    <w:name w:val="ConsPlusJurTerm"/>
    <w:pPr>
      <w:widowControl w:val="off"/>
    </w:pPr>
    <w:rPr>
      <w:rFonts w:ascii="Tahoma" w:hAnsi="Tahoma" w:eastAsia="Times New Roman" w:cs="Tahoma"/>
      <w:sz w:val="26"/>
      <w:szCs w:val="22"/>
    </w:rPr>
  </w:style>
  <w:style w:type="paragraph" w:styleId="874" w:customStyle="1">
    <w:name w:val="ConsPlusTextList"/>
    <w:pPr>
      <w:widowControl w:val="off"/>
    </w:pPr>
    <w:rPr>
      <w:rFonts w:ascii="Arial" w:hAnsi="Arial" w:eastAsia="Times New Roman" w:cs="Arial"/>
      <w:szCs w:val="22"/>
    </w:rPr>
  </w:style>
  <w:style w:type="paragraph" w:styleId="875">
    <w:name w:val="Balloon Text"/>
    <w:basedOn w:val="670"/>
    <w:link w:val="87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6" w:customStyle="1">
    <w:name w:val="Текст выноски Знак"/>
    <w:link w:val="87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7" w:customStyle="1">
    <w:name w:val="ConsPlusNormal Знак"/>
    <w:link w:val="867"/>
    <w:rPr>
      <w:rFonts w:eastAsia="Times New Roman" w:cs="Calibri"/>
      <w:sz w:val="22"/>
      <w:szCs w:val="22"/>
    </w:rPr>
  </w:style>
  <w:style w:type="character" w:styleId="878" w:customStyle="1">
    <w:name w:val="Верхний колонтитул Знак"/>
    <w:link w:val="689"/>
    <w:uiPriority w:val="99"/>
    <w:rPr>
      <w:sz w:val="22"/>
      <w:szCs w:val="22"/>
      <w:lang w:eastAsia="en-US"/>
    </w:rPr>
  </w:style>
  <w:style w:type="character" w:styleId="879" w:customStyle="1">
    <w:name w:val="Нижний колонтитул Знак"/>
    <w:link w:val="690"/>
    <w:uiPriority w:val="99"/>
    <w:rPr>
      <w:sz w:val="22"/>
      <w:szCs w:val="22"/>
      <w:lang w:eastAsia="en-US"/>
    </w:rPr>
  </w:style>
  <w:style w:type="paragraph" w:styleId="880">
    <w:name w:val="annotation text"/>
    <w:basedOn w:val="670"/>
    <w:link w:val="881"/>
    <w:uiPriority w:val="99"/>
    <w:semiHidden/>
    <w:unhideWhenUsed/>
    <w:rPr>
      <w:sz w:val="20"/>
      <w:szCs w:val="20"/>
    </w:rPr>
  </w:style>
  <w:style w:type="character" w:styleId="881" w:customStyle="1">
    <w:name w:val="Текст примечания Знак"/>
    <w:link w:val="880"/>
    <w:uiPriority w:val="99"/>
    <w:semiHidden/>
    <w:rPr>
      <w:lang w:eastAsia="en-US"/>
    </w:rPr>
  </w:style>
  <w:style w:type="character" w:styleId="882">
    <w:name w:val="annotation reference"/>
    <w:uiPriority w:val="99"/>
    <w:semiHidden/>
    <w:unhideWhenUsed/>
    <w:rPr>
      <w:sz w:val="16"/>
      <w:szCs w:val="16"/>
    </w:rPr>
  </w:style>
  <w:style w:type="paragraph" w:styleId="883">
    <w:name w:val="Normal (Web)"/>
    <w:basedOn w:val="67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login.consultant.ru/link/?req=doc&amp;base=LAW&amp;n=480810&amp;dst=3704" TargetMode="External"/><Relationship Id="rId10" Type="http://schemas.openxmlformats.org/officeDocument/2006/relationships/hyperlink" Target="https://login.consultant.ru/link/?req=doc&amp;base=LAW&amp;n=480810&amp;dst=3722" TargetMode="External"/><Relationship Id="rId11" Type="http://schemas.openxmlformats.org/officeDocument/2006/relationships/hyperlink" Target="https://login.consultant.ru/link/?req=doc&amp;base=LAW&amp;n=480810&amp;dst=3704" TargetMode="External"/><Relationship Id="rId12" Type="http://schemas.openxmlformats.org/officeDocument/2006/relationships/hyperlink" Target="https://login.consultant.ru/link/?req=doc&amp;base=LAW&amp;n=480810&amp;dst=3722" TargetMode="External"/><Relationship Id="rId13" Type="http://schemas.openxmlformats.org/officeDocument/2006/relationships/hyperlink" Target="https://login.consultant.ru/link/?req=doc&amp;base=LAW&amp;n=465999" TargetMode="External"/><Relationship Id="rId14" Type="http://schemas.openxmlformats.org/officeDocument/2006/relationships/hyperlink" Target="https://login.consultant.ru/link/?req=doc&amp;base=RLAW049&amp;n=181378&amp;dst=188922&amp;field=134&amp;date=28.03.2025" TargetMode="External"/><Relationship Id="rId15" Type="http://schemas.openxmlformats.org/officeDocument/2006/relationships/hyperlink" Target="https://login.consultant.ru/link/?req=doc&amp;base=RLAW049&amp;n=172055" TargetMode="External"/><Relationship Id="rId16" Type="http://schemas.openxmlformats.org/officeDocument/2006/relationships/comments" Target="comments.xml" /><Relationship Id="rId17" Type="http://schemas.microsoft.com/office/2011/relationships/commentsExtended" Target="commentsExtended.xml" /><Relationship Id="rId18" Type="http://schemas.microsoft.com/office/2018/08/relationships/commentsExtensible" Target="commentsExtensible.xml" /><Relationship Id="rId19" Type="http://schemas.microsoft.com/office/2016/09/relationships/commentsIds" Target="commentsIds.xml" /><Relationship Id="rId20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Жернавков Павел Сергеевич</dc:creator>
  <cp:revision>20</cp:revision>
  <dcterms:created xsi:type="dcterms:W3CDTF">2025-06-09T16:51:00Z</dcterms:created>
  <dcterms:modified xsi:type="dcterms:W3CDTF">2025-07-07T04:48:48Z</dcterms:modified>
  <cp:version>1048576</cp:version>
</cp:coreProperties>
</file>