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</w:t>
      </w:r>
      <w:bookmarkStart w:id="0" w:name="_GoBack"/>
      <w:r/>
      <w:bookmarkEnd w:id="0"/>
      <w:r>
        <w:rPr>
          <w:sz w:val="28"/>
          <w:szCs w:val="28"/>
          <w:lang w:val="en-US"/>
        </w:rPr>
        <w:t xml:space="preserve">ERBIMAGE</w:t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МИНИСТЕРСТВО СТРОИТЕЛЬСТВА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851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shd w:val="clear" w:color="auto" w:fill="auto"/>
            <w:tcW w:w="421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4573" w:type="dxa"/>
            <w:textDirection w:val="lrTb"/>
            <w:noWrap w:val="false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Новосибирск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Выдача разре</w:t>
      </w:r>
      <w:r>
        <w:rPr>
          <w:b/>
          <w:sz w:val="28"/>
          <w:szCs w:val="28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en-US"/>
        </w:rPr>
        <w:t xml:space="preserve">В соответствии со статьей 55 Градостроительного кодекса Россий</w:t>
      </w:r>
      <w:r>
        <w:rPr>
          <w:sz w:val="28"/>
          <w:szCs w:val="28"/>
          <w:lang w:val="en-US"/>
        </w:rPr>
        <w:t xml:space="preserve">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02.10.2014 № 398-п «О министерстве строительства Новосибирской области» </w:t>
      </w:r>
      <w:r>
        <w:rPr>
          <w:sz w:val="28"/>
          <w:szCs w:val="28"/>
          <w:highlight w:val="none"/>
          <w:lang w:val="en-US"/>
        </w:rPr>
      </w:r>
      <w:r>
        <w:rPr>
          <w:b/>
          <w:bCs/>
          <w:color w:val="auto"/>
          <w:sz w:val="28"/>
          <w:szCs w:val="28"/>
          <w:highlight w:val="none"/>
          <w:shd w:val="clear" w:color="ffffff" w:themeColor="background1" w:fill="ffffff" w:themeFill="background1"/>
          <w:lang w:val="en-US"/>
        </w:rPr>
        <w:t xml:space="preserve">п р и к а з ы в а ю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4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Выдача разре</w:t>
      </w:r>
      <w:r>
        <w:rPr>
          <w:sz w:val="28"/>
          <w:szCs w:val="28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 приказ министерства строительства Новосибирской области от 20.10.2015 № 263 «Об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</w:t>
      </w:r>
      <w:r>
        <w:rPr>
          <w:sz w:val="28"/>
          <w:szCs w:val="28"/>
          <w:lang w:val="en-US"/>
        </w:rPr>
        <w:t xml:space="preserve">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приказ министерства строительства Новосибирской области от 28.04.2016 № 136 «О внесении изменений в приказ министерства строительства Новосибирской области от 20 октября 2015 г. № 263»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приказ министерства строительства Ново</w:t>
      </w:r>
      <w:r>
        <w:rPr>
          <w:sz w:val="28"/>
          <w:szCs w:val="28"/>
          <w:lang w:val="en-US"/>
        </w:rPr>
        <w:t xml:space="preserve">сибирской области от 19.07.2016 № 237 «О внесении изменений в Административный регламент министерства строительства Новосибирской области предоставления государственной услуги по выдаче разрешений на ввод в эксплуатацию объектов капитального строительства»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4) приказ министерства строительства Новосибирской области от 15.11.2017 № 421 «О внесении изменений в приказ министерств</w:t>
      </w:r>
      <w:r>
        <w:rPr>
          <w:sz w:val="28"/>
          <w:szCs w:val="28"/>
          <w:lang w:val="en-US"/>
        </w:rPr>
        <w:t xml:space="preserve">а строительства Новосибирской области от 20.10.2015 № 263 и в Административный регламент министерства строительства Новосибирской области предоставления государственной услуги по выдаче разрешений на ввод в эксплуатацию объектов капитального строительства»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5) приказ министерства строительства Новосибирской области от 11.04.2018 № 176 «О внесении изменений в Административный регламент министерства строительства Новосибирской области предоставления государственной </w:t>
      </w:r>
      <w:r>
        <w:rPr>
          <w:sz w:val="28"/>
          <w:szCs w:val="28"/>
          <w:lang w:val="en-US"/>
        </w:rPr>
        <w:t xml:space="preserve">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6) приказ министерства строительства Новосибирской области от 18.12.2018 № 627 «О внесении изменений в Административный регламент министерства строительства Новосибирской области предоставления государственной </w:t>
      </w:r>
      <w:r>
        <w:rPr>
          <w:sz w:val="28"/>
          <w:szCs w:val="28"/>
          <w:lang w:val="en-US"/>
        </w:rPr>
        <w:t xml:space="preserve">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7) приказ министерства строительства Новосибирской области от 11.04.2019 № 207 «О внесении изменений в Административный регламент министерства строительства Новосибирской области предоставления государственной </w:t>
      </w:r>
      <w:r>
        <w:rPr>
          <w:sz w:val="28"/>
          <w:szCs w:val="28"/>
          <w:lang w:val="en-US"/>
        </w:rPr>
        <w:t xml:space="preserve">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8) приказ министерства строительства Новосибирской области от 07.04.2020 № 216 «О внесении изменений в Административный регламент министерства строительства Новосибирской области предоставления государственной </w:t>
      </w:r>
      <w:r>
        <w:rPr>
          <w:sz w:val="28"/>
          <w:szCs w:val="28"/>
          <w:lang w:val="en-US"/>
        </w:rPr>
        <w:t xml:space="preserve">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9) приказ министерства строительства Новосибирской области от 22.06.2020 № 353 «О внесении изменений в Административный регламент министерства строительства Новосибирской области предоставления государственной </w:t>
      </w:r>
      <w:r>
        <w:rPr>
          <w:sz w:val="28"/>
          <w:szCs w:val="28"/>
          <w:lang w:val="en-US"/>
        </w:rPr>
        <w:t xml:space="preserve">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10) приказ министерства строительства Новосибирской области от 25.01.2021 № 25 «О внесении изменений в приказ министерства строительства Новосибирской области от 20.10.2015 № 263»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11) приказ министерства строительства Новосибирской области от 17.06.2021 № 386 «О внесении изменений в приказ министерства строительства Новосибирской области от 20.10.2015 № 263»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12) приказ министерства строительства Новосибирской области от 20.09.2023 № 163-НПА «О внесении изменений в приказ министерства строительства Новосибирской области от 20.10.2015 № 263»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13) приказ министерства строительства Новосибирской области от 12.12.2024 № 223-НПА «О внесении изменений в приказ министерства строительства Новосибирской области от 20.10.2015 № 263»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Управлению архитектуры и градостроительства министерства строительства Новосибирской области (Савонина Е.Г.) обеспечить организацию предоставления го</w:t>
      </w:r>
      <w:r>
        <w:rPr>
          <w:sz w:val="28"/>
          <w:szCs w:val="28"/>
          <w:lang w:val="en-US"/>
        </w:rPr>
        <w:t xml:space="preserve">сударственной услуги в соответствии с Административным регламентом.
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Отделу информационного обеспечения управления сопровождения строительства (Ибрагимов Г.Г.) обеспечить размещение настоящего приказа на официальном сайте министерства строительства Новос</w:t>
      </w:r>
      <w:r>
        <w:rPr>
          <w:sz w:val="28"/>
          <w:szCs w:val="28"/>
          <w:lang w:val="en-US"/>
        </w:rPr>
        <w:t xml:space="preserve">ибирской области в информационно-телекоммуникационной сети «Интернет».
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Контроль за исполнением настоящего приказа возложить на заместителя министра – главного архитектора Новосибирской области министерства строительства Новосибирской области Фаткина И.Ю</w:t>
      </w:r>
      <w:r>
        <w:rPr>
          <w:sz w:val="28"/>
          <w:szCs w:val="28"/>
          <w:lang w:val="en-US"/>
        </w:rPr>
        <w:t xml:space="preserve">.</w:t>
      </w:r>
      <w:r/>
      <w:r/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tbl>
      <w:tblPr>
        <w:tblStyle w:val="851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</w:t>
            </w:r>
            <w:r/>
            <w:r>
              <w:rPr>
                <w:sz w:val="28"/>
                <w:szCs w:val="28"/>
                <w:shd w:val="clear" w:color="auto" w:fill="ffffff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-114"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17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92985" cy="8826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14"/>
              <w:jc w:val="right"/>
              <w:keepNext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</w:t>
            </w:r>
            <w:r/>
            <w:r>
              <w:rPr>
                <w:sz w:val="28"/>
                <w:szCs w:val="28"/>
                <w:shd w:val="clear" w:color="auto" w:fill="ffffff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ind w:left="6237"/>
        <w:jc w:val="both"/>
        <w:spacing w:after="160" w:line="259" w:lineRule="auto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ind w:left="6237"/>
        <w:jc w:val="both"/>
        <w:spacing w:before="240"/>
        <w:rPr>
          <w:sz w:val="28"/>
          <w:szCs w:val="28"/>
          <w:lang w:val="en-US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left="6237"/>
        <w:jc w:val="center"/>
        <w:spacing w:befor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УТВЕРЖДЕН </w:t>
      </w:r>
      <w:r>
        <w:rPr>
          <w:lang w:val="en-US"/>
        </w:rPr>
      </w:r>
    </w:p>
    <w:p>
      <w:pPr>
        <w:ind w:left="6237"/>
        <w:jc w:val="center"/>
        <w:spacing w:before="240"/>
        <w:rPr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Министерства строительства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lang w:val="en-US"/>
        </w:rPr>
      </w:r>
      <w:r/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Выдача разре</w:t>
      </w:r>
      <w:r>
        <w:rPr>
          <w:b/>
          <w:sz w:val="28"/>
          <w:szCs w:val="28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Выдача разре</w:t>
      </w:r>
      <w:r>
        <w:rPr>
          <w:sz w:val="28"/>
          <w:szCs w:val="28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юридическому лицу - застройщику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  <w:t xml:space="preserve">физическому лицу - застройщику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индивидуальному предпринимателю - застройщику, </w:t>
      </w:r>
      <w:r>
        <w:rPr>
          <w:sz w:val="28"/>
          <w:szCs w:val="28"/>
        </w:rPr>
        <w:t xml:space="preserve">уполномоченным представителям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</w:t>
      </w:r>
      <w:r>
        <w:rPr>
          <w:sz w:val="28"/>
          <w:szCs w:val="28"/>
          <w:lang w:eastAsia="ru-RU"/>
        </w:rPr>
        <w:t xml:space="preserve">в результате анкетирования, проводимого органом, предоставляющим услугу (далее – профилирование)</w:t>
      </w:r>
      <w:r>
        <w:rPr>
          <w:rStyle w:val="862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  <w:szCs w:val="28"/>
          <w:lang w:eastAsia="ru-RU"/>
        </w:rPr>
        <w:t xml:space="preserve">муниципальных услуг (функций)»</w:t>
      </w:r>
      <w:r>
        <w:rPr>
          <w:rStyle w:val="862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Выдача разре</w:t>
      </w:r>
      <w:r>
        <w:rPr>
          <w:sz w:val="28"/>
          <w:szCs w:val="28"/>
          <w:lang w:val="en-US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Министерством строительства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выдачей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акт,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выдачей дубликата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внесением изменений в 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разрешение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личном обращении 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рабочих 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sz w:val="28"/>
          <w:szCs w:val="28"/>
          <w:lang w:eastAsia="ru-RU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в сети «Интернет»,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  <w:t xml:space="preserve">единая система межведомственного электронного взаимодействия</w:t>
      </w:r>
      <w:r>
        <w:rPr>
          <w:rStyle w:val="862"/>
          <w:sz w:val="28"/>
          <w:szCs w:val="28"/>
          <w:lang w:eastAsia="ru-RU"/>
        </w:rPr>
        <w:footnoteReference w:id="4"/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выдачей разрешения на ввод объекта в эксплуатацию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выдачей дубликата разрешения на ввод объекта в эксплуатацию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внесением изменений в разрешение на ввод объекта в эксплуатацию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 по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Органе власти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МФЦ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на Едином портале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выдача разрешения на ввод объекта в эксплуатацию не требуется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опечаток и (или) ошибок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правоустанавливающие документы на земельный участок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соглашение об установлении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установлении публичного сервитута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 (с маршрутизацией на витрину данных НСУД ЕГРН)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(несколько документов по выбору заявителя)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 и (или) электронный образ документа, подписанные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Правовой акт,</w:t>
      </w:r>
      <w:r/>
      <w:r>
        <w:rPr>
          <w:sz w:val="28"/>
          <w:szCs w:val="28"/>
        </w:rPr>
        <w:t xml:space="preserve">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</w:t>
      </w:r>
      <w:r>
        <w:rPr>
          <w:sz w:val="28"/>
          <w:szCs w:val="28"/>
          <w:lang w:val="en-US"/>
        </w:rPr>
        <w:t xml:space="preserve">ным Федеральным законом от 25.06.2002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договор или договоры, заключенные между застройщиком и иным лицом (иными лицами)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технический план объекта капитального стр</w:t>
      </w:r>
      <w:r>
        <w:rPr>
          <w:sz w:val="28"/>
          <w:szCs w:val="28"/>
          <w:lang w:val="en-US"/>
        </w:rPr>
        <w:t xml:space="preserve">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</w:t>
      </w:r>
      <w:r>
        <w:rPr>
          <w:sz w:val="28"/>
          <w:szCs w:val="28"/>
          <w:lang w:val="en-US"/>
        </w:rPr>
        <w:t xml:space="preserve">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договор аренды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разрешение на строительство объекта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принятия решения о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в сфере градостроительной деятельности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копия, в случае обращения заявителя лично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паспорт, удостоверяющий личность гражданина Российской Федерации на территории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неполное зап</w:t>
      </w:r>
      <w:r>
        <w:rPr>
          <w:sz w:val="28"/>
          <w:szCs w:val="28"/>
          <w:lang w:val="en-US"/>
        </w:rPr>
        <w:t xml:space="preserve">олнение полей в форме заявления о выдаче разрешения на ввод объекта в эксплуатацию, в том числе в интерактивной форме заявления на Едином портале, в государственной информационной системе для обеспечения градостроительной деятельности Новосибирской области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о выдаче разрешения на ввод объекта в эксплуатацию, заявление о внесении изменений представлено в орган государственной власти, в полномочия которого не входит предоставление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и прилагаемые документы представлены не в электронной форме в случае, если данное требование предусмотрено но</w:t>
      </w:r>
      <w:r>
        <w:rPr>
          <w:sz w:val="28"/>
          <w:szCs w:val="28"/>
          <w:lang w:val="en-US"/>
        </w:rPr>
        <w:t xml:space="preserve">рмативным правовым актом Новосибирской области (постановление 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форме»)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заявление подано лицом, не уполномоченным на осуществление таких действий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</w:t>
      </w:r>
      <w:r>
        <w:rPr>
          <w:sz w:val="28"/>
          <w:szCs w:val="28"/>
        </w:rPr>
        <w:t xml:space="preserve">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 Едином портале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выписки из ЕГРЮЛ, ЕГРИП в форме электронного документа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органа государственного строительного надзора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Уполномоченный орган государственной власти субъекта Российской Федерации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Разрешение на строительство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Орган местного самоуправления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Схема, отображающая</w:t>
      </w:r>
      <w:r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</w:t>
      </w:r>
      <w:r>
        <w:rPr>
          <w:sz w:val="28"/>
          <w:szCs w:val="28"/>
        </w:rPr>
        <w:t xml:space="preserve">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Ресурсоснабжающая организация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часа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</w:t>
      </w:r>
      <w:r>
        <w:rPr>
          <w:sz w:val="28"/>
          <w:szCs w:val="28"/>
          <w:lang w:val="en-US"/>
        </w:rPr>
        <w:t xml:space="preserve">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</w:t>
      </w:r>
      <w:r>
        <w:rPr>
          <w:sz w:val="28"/>
          <w:szCs w:val="28"/>
          <w:lang w:val="en-US"/>
        </w:rPr>
        <w:t xml:space="preserve">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</w:t>
      </w:r>
      <w:r>
        <w:rPr>
          <w:sz w:val="28"/>
          <w:szCs w:val="28"/>
          <w:lang w:val="en-US"/>
        </w:rPr>
        <w:t xml:space="preserve">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</w:t>
      </w:r>
      <w:r>
        <w:rPr>
          <w:sz w:val="28"/>
          <w:szCs w:val="28"/>
          <w:lang w:val="en-US"/>
        </w:rPr>
        <w:t xml:space="preserve">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параметров построенного, реконструированно</w:t>
      </w:r>
      <w:r>
        <w:rPr>
          <w:sz w:val="28"/>
          <w:szCs w:val="28"/>
          <w:lang w:val="en-US"/>
        </w:rPr>
        <w:t xml:space="preserve">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объекта капитального строительс</w:t>
      </w:r>
      <w:r>
        <w:rPr>
          <w:sz w:val="28"/>
          <w:szCs w:val="28"/>
          <w:lang w:val="en-US"/>
        </w:rPr>
        <w:t xml:space="preserve">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документов, указанных в частях 3 и 4 статьи 55 Градостроительного кодекса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разрешение на ввод объекта в эксплуатацию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личном кабинете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при личном обращении 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выдаче разрешения на ввод объекта в эксплуатацию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руководителем (уполномоченным заместителем руководителя) Органа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начальником отдела Органа власти, отвечающим за предоставление Услуги, заместителем руководителя Органа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–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</w:t>
      </w:r>
      <w:r>
        <w:rPr>
          <w:sz w:val="28"/>
          <w:szCs w:val="28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личном обращении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МФЦ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через портал Федеральной государственной информационной системы «Досудебное обжалование» http://do.gosuslugi.ru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МФЦ</w:t>
      </w:r>
      <w:r>
        <w:rPr>
          <w:sz w:val="28"/>
          <w:szCs w:val="28"/>
        </w:rPr>
        <w:t xml:space="preserve">.</w:t>
      </w:r>
      <w:r>
        <w:t xml:space="preserve"> 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личном обращении 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863"/>
        <w:ind w:left="6237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863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Министерства строительства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sz w:val="28"/>
          <w:szCs w:val="28"/>
          <w:lang w:val="en-US"/>
        </w:rPr>
      </w:r>
    </w:p>
    <w:p>
      <w:pPr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spacing w:after="24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before="2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  <w:r>
        <w:rPr>
          <w:sz w:val="28"/>
          <w:szCs w:val="28"/>
          <w:lang w:eastAsia="ru-RU"/>
        </w:rPr>
      </w:r>
    </w:p>
    <w:tbl>
      <w:tblPr>
        <w:tblStyle w:val="85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blPrEx/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Выдача разрешения на ввод объекта в эксплуатацию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Выдача дубликата разрешения на ввод объекта в эксплуатацию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Внесение изменений в разрешение на ввод объекта в эксплуатацию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  <w:r>
        <w:rPr>
          <w:sz w:val="28"/>
          <w:szCs w:val="28"/>
          <w:lang w:eastAsia="ru-RU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Выдача разрешения на ввод объекта в эксплуатацию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Круг заявителей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4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Право на земельный участок зарегистрировано в Едином государственном реестре недвижимости?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организаций?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Круг заявителей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4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Выдача дубликата разрешения на ввод объекта в эксплуатацию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Круг заявителей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4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Внесение изменений в разрешение на ввод объекта в эксплуатацию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Круг заявителей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4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Право на земельный участок зарегистрировано в Едином государственном реестре недвижимости?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Право на земельный участок не зарегистрировано в Едином государственном реестре недвижимости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организаций?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Документы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Документы находятся 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849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8"/>
          <w:szCs w:val="28"/>
          <w:lang w:val="en-US" w:eastAsia="ru-RU"/>
        </w:rPr>
        <w:br w:type="page" w:clear="all"/>
      </w:r>
      <w:r>
        <w:rPr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3"/>
        <w:ind w:left="6237"/>
        <w:rPr>
          <w:sz w:val="28"/>
          <w:szCs w:val="28"/>
          <w:lang w:val="en-US"/>
        </w:rPr>
        <w:outlineLvl w:val="0"/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szCs w:val="20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3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Министерства строительства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sz w:val="28"/>
          <w:szCs w:val="28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  <w:t xml:space="preserve"> </w:t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</w:t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16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Выдача разре</w:t>
      </w:r>
      <w:r>
        <w:rPr>
          <w:sz w:val="24"/>
          <w:szCs w:val="24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Согласие застройщика на осуществление государственной регистрации права собственности застройщика н</w:t>
      </w:r>
      <w:r>
        <w:rPr>
          <w:sz w:val="24"/>
          <w:szCs w:val="24"/>
          <w:lang w:val="en-US"/>
        </w:rPr>
        <w:t xml:space="preserve">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 (да/нет)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</w:t>
      </w:r>
      <w:r>
        <w:rPr>
          <w:sz w:val="24"/>
          <w:szCs w:val="24"/>
          <w:lang w:val="en-US"/>
        </w:rPr>
        <w:t xml:space="preserve">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 (да/нет)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уплате государственной пошлины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Подтверждаю, что строительство, реконструкция здания, сооружения осуществлялись без привлечения средств иных лиц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Подтверждаю, что строительство, ре</w:t>
      </w:r>
      <w:r>
        <w:rPr>
          <w:sz w:val="24"/>
          <w:szCs w:val="24"/>
          <w:lang w:val="en-US"/>
        </w:rPr>
        <w:t xml:space="preserve">конструкция здания, сооружения осуществлялись 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</w:t>
      </w:r>
      <w:r>
        <w:rPr>
          <w:sz w:val="24"/>
          <w:szCs w:val="24"/>
          <w:lang w:val="en-US"/>
        </w:rPr>
        <w:t xml:space="preserve">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17</w:t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20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Выдача разре</w:t>
      </w:r>
      <w:r>
        <w:rPr>
          <w:sz w:val="24"/>
          <w:szCs w:val="24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разрешения на ввод объекта в эксплуатацию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Допущенные опечатки и (или) ошибки в выданных в результате предоставления услуги документах, которые подлежат исправлению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21</w:t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24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Выдача разре</w:t>
      </w:r>
      <w:r>
        <w:rPr>
          <w:sz w:val="24"/>
          <w:szCs w:val="24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разрешения на ввод объекта в эксплуатацию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  <w:t xml:space="preserve"> </w:t>
      </w:r>
      <w:r>
        <w:rPr>
          <w:sz w:val="28"/>
          <w:szCs w:val="28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25</w:t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40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Выдача разре</w:t>
      </w:r>
      <w:r>
        <w:rPr>
          <w:sz w:val="24"/>
          <w:szCs w:val="24"/>
        </w:rPr>
        <w:t xml:space="preserve">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муниципальных округов, городских округов)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Согласие застройщика на осуществление государственной регистрации права собственности застройщика н</w:t>
      </w:r>
      <w:r>
        <w:rPr>
          <w:sz w:val="24"/>
          <w:szCs w:val="24"/>
          <w:lang w:val="en-US"/>
        </w:rPr>
        <w:t xml:space="preserve">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 (да/нет)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</w:t>
      </w:r>
      <w:r>
        <w:rPr>
          <w:sz w:val="24"/>
          <w:szCs w:val="24"/>
          <w:lang w:val="en-US"/>
        </w:rPr>
        <w:t xml:space="preserve">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 (да/нет)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уплате государственной пошлины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</w:t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60"/>
        <w:jc w:val="both"/>
      </w:pPr>
      <w:r>
        <w:rPr>
          <w:rStyle w:val="862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860"/>
        <w:jc w:val="both"/>
      </w:pPr>
      <w:r>
        <w:rPr>
          <w:rStyle w:val="862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  <w:footnote w:id="4">
    <w:p>
      <w:pPr>
        <w:jc w:val="both"/>
        <w:rPr>
          <w:szCs w:val="20"/>
        </w:rPr>
      </w:pPr>
      <w:r>
        <w:rPr>
          <w:rStyle w:val="862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>
        <w:rPr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/>
    <w:r/>
  </w:p>
  <w:p>
    <w:pPr>
      <w:pStyle w:val="8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85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/>
    <w:r/>
  </w:p>
  <w:p>
    <w:pPr>
      <w:pStyle w:val="8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39"/>
    <w:link w:val="8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39"/>
    <w:link w:val="8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39"/>
    <w:link w:val="8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39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39"/>
    <w:link w:val="8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39"/>
    <w:link w:val="87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38"/>
    <w:next w:val="8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38"/>
    <w:next w:val="8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38"/>
    <w:next w:val="8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838"/>
    <w:next w:val="8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39"/>
    <w:link w:val="34"/>
    <w:uiPriority w:val="10"/>
    <w:rPr>
      <w:sz w:val="48"/>
      <w:szCs w:val="48"/>
    </w:rPr>
  </w:style>
  <w:style w:type="paragraph" w:styleId="36">
    <w:name w:val="Subtitle"/>
    <w:basedOn w:val="838"/>
    <w:next w:val="8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39"/>
    <w:link w:val="36"/>
    <w:uiPriority w:val="11"/>
    <w:rPr>
      <w:sz w:val="24"/>
      <w:szCs w:val="24"/>
    </w:rPr>
  </w:style>
  <w:style w:type="paragraph" w:styleId="38">
    <w:name w:val="Quote"/>
    <w:basedOn w:val="838"/>
    <w:next w:val="8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38"/>
    <w:next w:val="8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39"/>
    <w:link w:val="853"/>
    <w:uiPriority w:val="99"/>
  </w:style>
  <w:style w:type="character" w:styleId="45">
    <w:name w:val="Footer Char"/>
    <w:basedOn w:val="839"/>
    <w:link w:val="855"/>
    <w:uiPriority w:val="99"/>
  </w:style>
  <w:style w:type="paragraph" w:styleId="46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55"/>
    <w:uiPriority w:val="99"/>
  </w:style>
  <w:style w:type="table" w:styleId="4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60"/>
    <w:uiPriority w:val="99"/>
    <w:rPr>
      <w:sz w:val="18"/>
    </w:rPr>
  </w:style>
  <w:style w:type="character" w:styleId="179">
    <w:name w:val="Endnote Text Char"/>
    <w:link w:val="857"/>
    <w:uiPriority w:val="99"/>
    <w:rPr>
      <w:sz w:val="20"/>
    </w:rPr>
  </w:style>
  <w:style w:type="paragraph" w:styleId="181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>
    <w:name w:val="annotation reference"/>
    <w:uiPriority w:val="99"/>
    <w:rPr>
      <w:sz w:val="16"/>
      <w:szCs w:val="16"/>
    </w:rPr>
  </w:style>
  <w:style w:type="paragraph" w:styleId="843">
    <w:name w:val="annotation text"/>
    <w:basedOn w:val="838"/>
    <w:link w:val="844"/>
    <w:uiPriority w:val="99"/>
    <w:unhideWhenUsed/>
    <w:rPr>
      <w:szCs w:val="20"/>
    </w:rPr>
  </w:style>
  <w:style w:type="character" w:styleId="844" w:customStyle="1">
    <w:name w:val="Текст примечания Знак"/>
    <w:basedOn w:val="839"/>
    <w:link w:val="84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45">
    <w:name w:val="Balloon Text"/>
    <w:basedOn w:val="838"/>
    <w:link w:val="8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39"/>
    <w:link w:val="845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47">
    <w:name w:val="annotation subject"/>
    <w:basedOn w:val="843"/>
    <w:next w:val="843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4"/>
    <w:link w:val="847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49" w:customStyle="1">
    <w:name w:val="! ТЗ Стиль __ТекстОсн_1и + Times New Roman 12 пт По ширине Первая стр..."/>
    <w:basedOn w:val="838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850" w:customStyle="1">
    <w:name w:val="Сетка таблицы3"/>
    <w:basedOn w:val="840"/>
    <w:next w:val="851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1">
    <w:name w:val="Table Grid"/>
    <w:basedOn w:val="8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2">
    <w:name w:val="List Paragraph"/>
    <w:basedOn w:val="838"/>
    <w:uiPriority w:val="34"/>
    <w:qFormat/>
    <w:pPr>
      <w:contextualSpacing/>
      <w:ind w:left="720"/>
    </w:pPr>
  </w:style>
  <w:style w:type="paragraph" w:styleId="853">
    <w:name w:val="Header"/>
    <w:basedOn w:val="838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39"/>
    <w:link w:val="853"/>
    <w:uiPriority w:val="99"/>
    <w:rPr>
      <w:rFonts w:ascii="Times New Roman" w:hAnsi="Times New Roman" w:eastAsia="Times New Roman" w:cs="Times New Roman"/>
      <w:sz w:val="20"/>
    </w:rPr>
  </w:style>
  <w:style w:type="paragraph" w:styleId="855">
    <w:name w:val="Footer"/>
    <w:basedOn w:val="838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39"/>
    <w:link w:val="855"/>
    <w:uiPriority w:val="99"/>
    <w:rPr>
      <w:rFonts w:ascii="Times New Roman" w:hAnsi="Times New Roman" w:eastAsia="Times New Roman" w:cs="Times New Roman"/>
      <w:sz w:val="20"/>
    </w:rPr>
  </w:style>
  <w:style w:type="paragraph" w:styleId="857">
    <w:name w:val="endnote text"/>
    <w:basedOn w:val="838"/>
    <w:link w:val="858"/>
    <w:uiPriority w:val="99"/>
    <w:semiHidden/>
    <w:unhideWhenUsed/>
    <w:rPr>
      <w:szCs w:val="20"/>
    </w:rPr>
  </w:style>
  <w:style w:type="character" w:styleId="858" w:customStyle="1">
    <w:name w:val="Текст концевой сноски Знак"/>
    <w:basedOn w:val="839"/>
    <w:link w:val="85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859">
    <w:name w:val="endnote reference"/>
    <w:basedOn w:val="839"/>
    <w:uiPriority w:val="99"/>
    <w:semiHidden/>
    <w:unhideWhenUsed/>
    <w:rPr>
      <w:vertAlign w:val="superscript"/>
    </w:rPr>
  </w:style>
  <w:style w:type="paragraph" w:styleId="860">
    <w:name w:val="footnote text"/>
    <w:basedOn w:val="838"/>
    <w:link w:val="861"/>
    <w:uiPriority w:val="99"/>
    <w:unhideWhenUsed/>
    <w:rPr>
      <w:szCs w:val="20"/>
    </w:rPr>
  </w:style>
  <w:style w:type="character" w:styleId="861" w:customStyle="1">
    <w:name w:val="Текст сноски Знак"/>
    <w:basedOn w:val="839"/>
    <w:link w:val="860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862">
    <w:name w:val="footnote reference"/>
    <w:basedOn w:val="839"/>
    <w:uiPriority w:val="99"/>
    <w:semiHidden/>
    <w:unhideWhenUsed/>
    <w:rPr>
      <w:vertAlign w:val="superscript"/>
    </w:rPr>
  </w:style>
  <w:style w:type="paragraph" w:styleId="86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864">
    <w:name w:val="Body Text"/>
    <w:basedOn w:val="838"/>
    <w:link w:val="865"/>
    <w:uiPriority w:val="1"/>
    <w:qFormat/>
    <w:pPr>
      <w:widowControl w:val="off"/>
    </w:pPr>
    <w:rPr>
      <w:sz w:val="24"/>
      <w:szCs w:val="24"/>
    </w:rPr>
  </w:style>
  <w:style w:type="character" w:styleId="865" w:customStyle="1">
    <w:name w:val="Основной текст Знак"/>
    <w:basedOn w:val="839"/>
    <w:link w:val="864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866">
    <w:name w:val="HTML Code"/>
    <w:basedOn w:val="839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9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0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1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2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3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revision>4</cp:revision>
  <dcterms:created xsi:type="dcterms:W3CDTF">2025-01-21T12:28:00Z</dcterms:created>
  <dcterms:modified xsi:type="dcterms:W3CDTF">2025-04-11T04:00:58Z</dcterms:modified>
</cp:coreProperties>
</file>