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54"/>
        <w:ind w:firstLine="426"/>
        <w:jc w:val="center"/>
        <w:rPr>
          <w:szCs w:val="28"/>
        </w:rPr>
      </w:pPr>
      <w:r>
        <w:rPr>
          <w:color w:val="000000"/>
          <w:szCs w:val="28"/>
        </w:rPr>
        <w:t xml:space="preserve">   </w:t>
      </w:r>
      <w:r>
        <w:rPr>
          <w:color w:val="000000"/>
          <w:szCs w:val="28"/>
        </w:rPr>
        <w:t xml:space="preserve">         </w:t>
      </w:r>
      <w:r>
        <w:rPr>
          <w:color w:val="1f497d"/>
          <w:szCs w:val="28"/>
        </w:rPr>
        <w:t xml:space="preserve">                                                             </w:t>
      </w:r>
      <w:r>
        <w:rPr>
          <w:szCs w:val="28"/>
        </w:rPr>
        <w:t xml:space="preserve">Проект </w:t>
      </w:r>
      <w:r>
        <w:rPr>
          <w:szCs w:val="28"/>
        </w:rPr>
      </w:r>
      <w:r>
        <w:rPr>
          <w:szCs w:val="28"/>
        </w:rPr>
      </w:r>
    </w:p>
    <w:p>
      <w:pPr>
        <w:pStyle w:val="954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</w:t>
      </w:r>
      <w:r>
        <w:rPr>
          <w:szCs w:val="28"/>
        </w:rPr>
        <w:t xml:space="preserve">постановления Правительства</w:t>
      </w:r>
      <w:r>
        <w:rPr>
          <w:szCs w:val="28"/>
        </w:rPr>
      </w:r>
      <w:r>
        <w:rPr>
          <w:szCs w:val="28"/>
        </w:rPr>
      </w:r>
    </w:p>
    <w:p>
      <w:pPr>
        <w:pStyle w:val="954"/>
        <w:ind w:firstLine="426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</w:t>
      </w:r>
      <w:r>
        <w:rPr>
          <w:szCs w:val="28"/>
        </w:rPr>
        <w:t xml:space="preserve">Новосибирской области</w:t>
      </w:r>
      <w:r>
        <w:rPr>
          <w:szCs w:val="28"/>
        </w:rPr>
      </w:r>
      <w:r>
        <w:rPr>
          <w:szCs w:val="28"/>
        </w:rPr>
      </w:r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</w:pPr>
      <w:r/>
      <w:r/>
    </w:p>
    <w:p>
      <w:pPr>
        <w:pStyle w:val="95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54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54"/>
        <w:jc w:val="center"/>
        <w:rPr>
          <w:szCs w:val="28"/>
        </w:rPr>
      </w:pPr>
      <w:r>
        <w:rPr>
          <w:szCs w:val="28"/>
        </w:rPr>
        <w:t xml:space="preserve">О внесении измен</w:t>
      </w:r>
      <w:r>
        <w:rPr>
          <w:szCs w:val="28"/>
        </w:rPr>
        <w:t xml:space="preserve">ения</w:t>
      </w:r>
      <w:r>
        <w:rPr>
          <w:szCs w:val="28"/>
        </w:rPr>
        <w:t xml:space="preserve"> в постановление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</w:r>
      <w:r>
        <w:rPr>
          <w:szCs w:val="28"/>
        </w:rPr>
      </w:r>
    </w:p>
    <w:p>
      <w:pPr>
        <w:pStyle w:val="954"/>
        <w:jc w:val="center"/>
        <w:rPr>
          <w:szCs w:val="28"/>
        </w:rPr>
      </w:pPr>
      <w:r>
        <w:rPr>
          <w:szCs w:val="28"/>
        </w:rPr>
        <w:t xml:space="preserve">от 16.04.2019 № 138-п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54"/>
        <w:jc w:val="center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954"/>
        <w:ind w:firstLine="567"/>
        <w:jc w:val="both"/>
        <w:rPr>
          <w:szCs w:val="28"/>
        </w:rPr>
      </w:pPr>
      <w:r>
        <w:rPr>
          <w:szCs w:val="28"/>
        </w:rPr>
        <w:t xml:space="preserve">Правительство Но</w:t>
      </w:r>
      <w:r>
        <w:rPr>
          <w:szCs w:val="28"/>
        </w:rPr>
        <w:t xml:space="preserve">восибирской области </w:t>
      </w:r>
      <w:r>
        <w:rPr>
          <w:b/>
          <w:szCs w:val="28"/>
        </w:rPr>
        <w:t xml:space="preserve">п о с т а н о в л я е т</w:t>
      </w:r>
      <w:r>
        <w:rPr>
          <w:szCs w:val="28"/>
        </w:rPr>
        <w:t xml:space="preserve">:</w:t>
      </w:r>
      <w:r>
        <w:rPr>
          <w:szCs w:val="28"/>
        </w:rPr>
      </w:r>
      <w:r>
        <w:rPr>
          <w:szCs w:val="28"/>
        </w:rPr>
      </w:r>
    </w:p>
    <w:p>
      <w:pPr>
        <w:pStyle w:val="954"/>
        <w:ind w:firstLine="567"/>
        <w:jc w:val="both"/>
        <w:rPr>
          <w:highlight w:val="none"/>
        </w:rPr>
      </w:pPr>
      <w:r>
        <w:rPr>
          <w:szCs w:val="28"/>
        </w:rPr>
        <w:t xml:space="preserve">В</w:t>
      </w:r>
      <w:r>
        <w:rPr>
          <w:szCs w:val="28"/>
        </w:rPr>
        <w:t xml:space="preserve">нести в п</w:t>
      </w:r>
      <w:r>
        <w:rPr>
          <w:szCs w:val="28"/>
        </w:rPr>
        <w:t xml:space="preserve">остановление </w:t>
      </w:r>
      <w:r>
        <w:rPr>
          <w:szCs w:val="28"/>
        </w:rPr>
        <w:t xml:space="preserve">Правительства Новосибирской области </w:t>
      </w:r>
      <w:r>
        <w:rPr>
          <w:szCs w:val="28"/>
        </w:rPr>
        <w:t xml:space="preserve">от </w:t>
      </w:r>
      <w:r>
        <w:rPr>
          <w:szCs w:val="28"/>
        </w:rPr>
        <w:t xml:space="preserve">16.04.2019 № 138-п </w:t>
      </w:r>
      <w:r>
        <w:rPr>
          <w:szCs w:val="28"/>
        </w:rPr>
        <w:t xml:space="preserve">«</w:t>
      </w:r>
      <w:r>
        <w:rPr>
          <w:szCs w:val="28"/>
        </w:rPr>
        <w:t xml:space="preserve">Об утверждении Порядка рассмотрения документов, обосновывающих соответствие масштабного инвестиционного проекта, связанного со строительством жилья, критериям, установленным Законом Новосибирской </w:t>
      </w:r>
      <w:r>
        <w:rPr>
          <w:szCs w:val="28"/>
        </w:rPr>
        <w:t xml:space="preserve">области от 01.07.2015 №</w:t>
      </w:r>
      <w:r>
        <w:rPr>
          <w:szCs w:val="28"/>
        </w:rPr>
        <w:t xml:space="preserve"> 583-ОЗ «</w:t>
      </w:r>
      <w:r>
        <w:rPr>
          <w:szCs w:val="28"/>
        </w:rPr>
        <w:t xml:space="preserve">Об</w:t>
      </w:r>
      <w:r>
        <w:rPr>
          <w:szCs w:val="28"/>
        </w:rPr>
        <w:t xml:space="preserve">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участки в аренду без проведения торгов</w:t>
      </w:r>
      <w:r>
        <w:rPr>
          <w:szCs w:val="28"/>
        </w:rPr>
        <w:t xml:space="preserve">»</w:t>
      </w:r>
      <w:r>
        <w:rPr>
          <w:szCs w:val="28"/>
        </w:rPr>
        <w:t xml:space="preserve"> </w:t>
      </w:r>
      <w:r>
        <w:rPr>
          <w:szCs w:val="28"/>
        </w:rPr>
        <w:t xml:space="preserve">следующи</w:t>
      </w:r>
      <w:r>
        <w:rPr>
          <w:szCs w:val="28"/>
        </w:rPr>
        <w:t xml:space="preserve">е </w:t>
      </w:r>
      <w:r>
        <w:rPr>
          <w:szCs w:val="28"/>
        </w:rPr>
        <w:t xml:space="preserve">измен</w:t>
      </w:r>
      <w:r>
        <w:rPr>
          <w:szCs w:val="28"/>
        </w:rPr>
        <w:t xml:space="preserve">е</w:t>
      </w:r>
      <w:r>
        <w:rPr>
          <w:szCs w:val="28"/>
        </w:rPr>
        <w:t xml:space="preserve">ния</w:t>
      </w:r>
      <w:r>
        <w:rPr>
          <w:szCs w:val="28"/>
        </w:rPr>
        <w:t xml:space="preserve">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</w:t>
      </w:r>
      <w:hyperlink r:id="rId13" w:tooltip="http://10.12.1.46/cons/cgi/online.cgi?req=doc&amp;base=RLAW049&amp;n=170902&amp;dst=100014&amp;field=134&amp;date=18.03.2025" w:history="1">
        <w:r>
          <w:rPr>
            <w:rStyle w:val="969"/>
            <w:rFonts w:ascii="Times New Roman" w:hAnsi="Times New Roman" w:eastAsia="Times New Roman" w:cs="Times New Roman"/>
            <w:color w:val="0000ff"/>
            <w:sz w:val="28"/>
            <w:szCs w:val="28"/>
            <w:u w:val="none"/>
          </w:rPr>
          <w:t xml:space="preserve">Порядке</w:t>
        </w:r>
      </w:hyperlink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рассмотрения документов, обосновывающих соответствие объекта социально-культурного или коммунально-бытового назначения, масштабного инвестиционного проекта, связанного со строительством жилья, критериям, установленным Законом Новосибирской области от 01.0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7.2015 № 583-ОЗ «Об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предоставляются земельные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участки в аренду бе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 проведения торгов»: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  <w:highlight w:val="none"/>
        </w:rPr>
        <w:t xml:space="preserve">1.</w:t>
      </w:r>
      <w:r>
        <w:rPr>
          <w:i w:val="0"/>
          <w:iCs w:val="0"/>
          <w:sz w:val="28"/>
          <w:szCs w:val="28"/>
          <w:highlight w:val="none"/>
        </w:rPr>
        <w:t xml:space="preserve"> Пункт </w:t>
      </w:r>
      <w:r>
        <w:rPr>
          <w:i w:val="0"/>
          <w:iCs w:val="0"/>
          <w:sz w:val="28"/>
          <w:szCs w:val="28"/>
          <w:highlight w:val="none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после слов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муниципальной собственности (далее - земельный участок)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дополнить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словами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а также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процедуру направления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инициатором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мотивированных ходатайств об изменении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способа исполнения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обязательств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в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части передачи</w:t>
      </w:r>
      <w:r>
        <w:rPr>
          <w:b/>
          <w:bCs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и их рассмотрение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Cs w:val="0"/>
          <w:i w:val="0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beforeAutospacing="0" w:after="0" w:line="192" w:lineRule="atLeast"/>
        <w:rPr>
          <w:bCs w:val="0"/>
          <w:i w:val="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sz w:val="28"/>
          <w:szCs w:val="28"/>
        </w:rPr>
        <w:t xml:space="preserve">2</w:t>
      </w:r>
      <w:r>
        <w:rPr>
          <w:i w:val="0"/>
          <w:iCs w:val="0"/>
          <w:sz w:val="28"/>
          <w:szCs w:val="28"/>
        </w:rPr>
        <w:t xml:space="preserve">.</w:t>
      </w:r>
      <w:r>
        <w:rPr>
          <w:i w:val="0"/>
          <w:iCs w:val="0"/>
          <w:sz w:val="28"/>
          <w:szCs w:val="28"/>
        </w:rPr>
        <w:t xml:space="preserve"> Дополнить пунктом </w:t>
      </w:r>
      <w:r>
        <w:rPr>
          <w:i w:val="0"/>
          <w:iCs w:val="0"/>
          <w:sz w:val="28"/>
          <w:szCs w:val="28"/>
        </w:rPr>
        <w:t xml:space="preserve">15.1</w:t>
      </w:r>
      <w:r>
        <w:rPr>
          <w:i w:val="0"/>
          <w:iCs w:val="0"/>
          <w:sz w:val="28"/>
          <w:szCs w:val="28"/>
        </w:rPr>
        <w:t xml:space="preserve"> </w:t>
      </w:r>
      <w:r>
        <w:rPr>
          <w:i w:val="0"/>
          <w:iCs w:val="0"/>
          <w:sz w:val="28"/>
          <w:szCs w:val="28"/>
        </w:rPr>
        <w:t xml:space="preserve">следующего содержания</w:t>
      </w:r>
      <w:r>
        <w:rPr>
          <w:i w:val="0"/>
          <w:iCs w:val="0"/>
          <w:szCs w:val="28"/>
        </w:rPr>
        <w:t xml:space="preserve">:</w:t>
      </w:r>
      <w:r>
        <w:rPr>
          <w:i w:val="0"/>
          <w:iCs w:val="0"/>
          <w:szCs w:val="28"/>
        </w:rPr>
        <w:t xml:space="preserve"> </w:t>
      </w:r>
      <w:r>
        <w:rPr>
          <w:bCs w:val="0"/>
          <w:i w:val="0"/>
        </w:rPr>
      </w:r>
      <w:r>
        <w:rPr>
          <w:bCs w:val="0"/>
          <w:i w:val="0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i w:val="0"/>
          <w:iCs w:val="0"/>
          <w:sz w:val="28"/>
          <w:szCs w:val="28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15.1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случае возникновения в ходе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еализации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обстоятельств, препятствующих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исполнению обязательств по передаче 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в установленные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распоряжен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ием Губернатора Новосибирской области и договором аренды земельного участка</w:t>
      </w:r>
      <w:r>
        <w:rPr>
          <w:sz w:val="28"/>
          <w:szCs w:val="28"/>
        </w:rPr>
        <w:t xml:space="preserve"> сроки</w:t>
      </w:r>
      <w:r>
        <w:rPr>
          <w:sz w:val="28"/>
          <w:szCs w:val="28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инициатор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sz w:val="28"/>
          <w:szCs w:val="28"/>
        </w:rPr>
        <w:t xml:space="preserve"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 целях обеспечения своевременного исполнения своих обязательств по передаче жилых помещени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й в собственность граждан,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органам местного самоуправления муниципальных образований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Новосибирской области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,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пределах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рока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реализации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вправе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обр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атиться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в уполномоченный орган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 ходатайством об изменении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способа исполнения своих обязательств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в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части передачи</w:t>
      </w:r>
      <w:r>
        <w:rPr>
          <w:b/>
          <w:bCs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приложением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документов, предусмотренных подпунктами 2, 7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и 16 пункта 5 настоящего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709"/>
        <w:jc w:val="both"/>
        <w:spacing w:before="0" w:after="0"/>
        <w:shd w:val="clear" w:color="ffffff" w:fill="ffffff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none"/>
        </w:rPr>
        <w:t xml:space="preserve">Х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8"/>
          <w:szCs w:val="28"/>
          <w:highlight w:val="white"/>
        </w:rPr>
        <w:t xml:space="preserve">одатайств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 подается инициатором проекта в письменной форме лично, путем направления его по почте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none"/>
        </w:rPr>
        <w:t xml:space="preserve">3. Дополнить пунктом 15.2 следующего содержания:</w:t>
      </w:r>
      <w:r>
        <w:rPr>
          <w:highlight w:val="none"/>
        </w:rPr>
      </w:r>
      <w:r>
        <w:rPr>
          <w:highlight w:val="none"/>
        </w:rPr>
      </w:r>
    </w:p>
    <w:p>
      <w:pPr>
        <w:ind w:left="0" w:right="0" w:firstLine="540"/>
        <w:jc w:val="both"/>
        <w:spacing w:before="0" w:after="0" w:line="17" w:lineRule="atLeast"/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«15.2. В случае поступления от инициатора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ходатайства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 изменении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способа исполнения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обязательств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в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части передачи</w:t>
      </w:r>
      <w:r>
        <w:rPr>
          <w:b/>
          <w:bCs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b w:val="0"/>
          <w:bCs w:val="0"/>
          <w:i w:val="0"/>
          <w:iCs w:val="0"/>
          <w:sz w:val="28"/>
          <w:szCs w:val="28"/>
          <w:highlight w:val="non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 соответстви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и с </w:t>
      </w:r>
      <w:hyperlink w:history="1">
        <w:r>
          <w:rPr>
            <w:rStyle w:val="93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r>
          <w:rPr>
            <w:rStyle w:val="93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пунктом </w:t>
        </w:r>
        <w:r>
          <w:rPr>
            <w:rStyle w:val="93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15.1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настоящего Порядка уполномоченный орган в течение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трех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рабочих дней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запрашивает заключение о возможности внесения изменений в распоряжение Губернатора Новосибирской области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б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изменени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способа исполнения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обязательств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в </w:t>
      </w:r>
      <w:r>
        <w:rPr>
          <w:i w:val="0"/>
          <w:iCs w:val="0"/>
          <w:sz w:val="28"/>
          <w:szCs w:val="28"/>
          <w:highlight w:val="white"/>
          <w14:ligatures w14:val="none"/>
        </w:rPr>
        <w:t xml:space="preserve">части передачи</w:t>
      </w:r>
      <w:r>
        <w:rPr>
          <w:b/>
          <w:bCs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: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left="0" w:right="0" w:firstLine="540"/>
        <w:jc w:val="both"/>
        <w:spacing w:before="0" w:beforeAutospacing="0" w:after="0" w:line="17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у органов местного самоуправления муниципальных образований Новосибирской области (в случае, если реализация проекта проводится на земельном участке, находяще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мся в муниципальной собственности или государственная собственность на который не разграничена, за исключением случая, когда государственная собственность на земельный участок не разграничена, и он расположен в границах муниципальных образований Новосибирс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кой области, указанных в </w:t>
      </w:r>
      <w:hyperlink w:history="1">
        <w:r>
          <w:rPr>
            <w:rStyle w:val="936"/>
            <w:rFonts w:ascii="Times New Roman" w:hAnsi="Times New Roman" w:eastAsia="Times New Roman" w:cs="Times New Roman"/>
            <w:color w:val="000000" w:themeColor="text1"/>
            <w:sz w:val="28"/>
            <w:szCs w:val="28"/>
            <w:u w:val="none"/>
          </w:rPr>
          <w:t xml:space="preserve">приложении № 1</w:t>
        </w:r>
      </w:hyperlink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 Закону Новосибирской области от 18.12.2015 № 27-ОЗ «О перераспределении полномочий между органами местного самоуправления муниципальных образований Новосибирской области и органами государственной власти Новосибирской области и внесении изменения в стат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ью 3 Закона Новосибирской области «Об отдельных вопросах организации местного самоуправления в Новосибирской области»);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у областных исполнительных органов Новосибирской области в соответствии с компетенцией;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3) у Территориального управления Федерального агентства по управлению государственным имуществом в Новосибирской области (в случае, если реализация проекта осуществляется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на земельном участке, полномочиями по распоряжению которым обладает Федеральное агентство по управлению государственным имуществом или его территориальный орган).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540"/>
        <w:jc w:val="both"/>
        <w:spacing w:before="0" w:beforeAutospacing="0" w:after="0" w:line="288" w:lineRule="atLeast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Заключения направляются вышеуказанными органами в уполномоченный орган в течение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пяти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рабочих дней со дня поступления запроса.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bCs w:val="0"/>
          <w:i w:val="0"/>
          <w:highlight w:val="none"/>
          <w14:ligatures w14:val="none"/>
        </w:rPr>
      </w:pPr>
      <w:r>
        <w:rPr>
          <w:bCs w:val="0"/>
          <w:i w:val="0"/>
          <w:iCs w:val="0"/>
          <w:highlight w:val="none"/>
        </w:rPr>
        <w:t xml:space="preserve">4</w:t>
      </w:r>
      <w:r>
        <w:rPr>
          <w:bCs w:val="0"/>
          <w:i w:val="0"/>
          <w:iCs w:val="0"/>
          <w:highlight w:val="none"/>
        </w:rPr>
        <w:t xml:space="preserve">.</w:t>
      </w:r>
      <w:r>
        <w:rPr>
          <w:i w:val="0"/>
          <w:iCs w:val="0"/>
          <w:szCs w:val="28"/>
          <w:highlight w:val="none"/>
        </w:rPr>
        <w:t xml:space="preserve"> </w:t>
      </w:r>
      <w:r>
        <w:rPr>
          <w:i w:val="0"/>
          <w:iCs w:val="0"/>
          <w:szCs w:val="28"/>
          <w:highlight w:val="none"/>
        </w:rPr>
        <w:t xml:space="preserve">Дополнить пунктом 15.</w:t>
      </w:r>
      <w:r>
        <w:rPr>
          <w:i w:val="0"/>
          <w:iCs w:val="0"/>
          <w:szCs w:val="28"/>
          <w:highlight w:val="none"/>
        </w:rPr>
        <w:t xml:space="preserve">3 </w:t>
      </w:r>
      <w:r>
        <w:rPr>
          <w:i w:val="0"/>
          <w:iCs w:val="0"/>
          <w:szCs w:val="28"/>
        </w:rPr>
        <w:t xml:space="preserve">следующего содержания:</w:t>
      </w:r>
      <w:r>
        <w:rPr>
          <w:i w:val="0"/>
          <w:iCs w:val="0"/>
          <w:szCs w:val="28"/>
        </w:rPr>
        <w:t xml:space="preserve"> </w:t>
      </w:r>
      <w:r>
        <w:rPr>
          <w:bCs w:val="0"/>
          <w:i w:val="0"/>
          <w:highlight w:val="none"/>
          <w14:ligatures w14:val="none"/>
        </w:rPr>
      </w:r>
      <w:r>
        <w:rPr>
          <w:bCs w:val="0"/>
          <w:i w:val="0"/>
          <w:highlight w:val="none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pPr>
      <w:r>
        <w:rPr>
          <w:bCs w:val="0"/>
          <w:i w:val="0"/>
          <w:iCs w:val="0"/>
          <w:highlight w:val="none"/>
        </w:rPr>
        <w:t xml:space="preserve">«15.</w:t>
      </w:r>
      <w:r>
        <w:rPr>
          <w:bCs w:val="0"/>
          <w:i w:val="0"/>
          <w:iCs w:val="0"/>
          <w:highlight w:val="none"/>
        </w:rPr>
        <w:t xml:space="preserve">3.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Уполномоченный орган в течение 10 рабочих дней с даты регистрации</w:t>
      </w:r>
      <w:r>
        <w:rPr>
          <w:bCs w:val="0"/>
          <w:i w:val="0"/>
          <w:iCs w:val="0"/>
          <w:highlight w:val="none"/>
        </w:rPr>
        <w:t xml:space="preserve"> ходатайства об изменении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способа исполнения обязательств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в части передачи</w:t>
      </w:r>
      <w:r>
        <w:rPr>
          <w:b/>
          <w:bCs/>
          <w:i w:val="0"/>
          <w:iCs w:val="0"/>
          <w:sz w:val="28"/>
          <w:szCs w:val="28"/>
          <w:highlight w:val="none"/>
          <w14:ligatures w14:val="none"/>
        </w:rPr>
        <w:t xml:space="preserve">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b/>
          <w:bCs/>
          <w:i w:val="0"/>
          <w:iCs w:val="0"/>
          <w:sz w:val="28"/>
          <w:szCs w:val="28"/>
          <w:highlight w:val="white"/>
          <w14:ligatures w14:val="non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подготавливает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заключение о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соответствии проекта критериям, установленным Законом Новосибирской области,  возможности продолжения реализации проекта и  изменения способа исполнения обязательств по передаче жилых помещений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(далее - заключение уполномоченного органа о возможности (невозможности) продолжения реализации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проекта), которое подписывается руководителем уполномоченного органа, и в течение 5 рабочих дней со дня подписания заключения уполномоченного органа обеспе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чивает рассмотр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ение на комиссии ходатайства и документов, указанных в подпункта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х 2,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7 и 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6 пун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кта  5, пунктом 7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Порядка, а также заключения уполномоченного органа о продолж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ении реализации 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Закл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ючения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о возможности (невозможности) продолжении реализаци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проекта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подготавливается в порядке, установленном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пунктом 12 Порядка.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5. Дополнить пунктом 15.4 сле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ду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«15.4. Основаниями для заключения уполномоченного органа о невозможности продолжения реализации  проекта, являются: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1) выявление в документах, представленных инициатором проекта недостоверной информации;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2) несоответствие проекта критериям, установленным Законом Новосибирской области;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отрицательное заключение органов, перечисленных в пункте 15.2 Порядка;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5) предоставление инициатором проекта документов, предусмотренных под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пунктам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и 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2,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7 и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16 пункта  5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Порядка, не в полном объеме.».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6.  Пункт 16 дополнить подпунктами 4 и 5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4) о соответствии проекта критериям, установленным Законом Новосибирской области,  возможности продолжения реализации проекта и  изменения способа исполнения обязательств по передаче жилых помещений;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</w:p>
    <w:p>
      <w:pPr>
        <w:ind w:left="0" w:right="0" w:firstLine="540"/>
        <w:jc w:val="both"/>
        <w:spacing w:before="0" w:after="0" w:line="288" w:lineRule="atLeast"/>
        <w:rPr>
          <w:rFonts w:ascii="Times New Roman" w:hAnsi="Times New Roman" w:eastAsia="Times New Roman" w:cs="Times New Roman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5)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 несоответствии проекта критериям, установленным За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коном Новосибирской области, невозможности продолжения реализации проекта   и изменения способа исполнения обязательств по передаче жилых помещений.».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567"/>
        <w:jc w:val="both"/>
        <w:spacing w:line="240" w:lineRule="auto"/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</w:rPr>
        <w:t xml:space="preserve">7. Дополнить пунктом 19.1 следующего содержания: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none"/>
          <w14:ligatures w14:val="none"/>
        </w:rPr>
      </w:r>
    </w:p>
    <w:p>
      <w:pPr>
        <w:ind w:left="0" w:right="0" w:firstLine="567"/>
        <w:jc w:val="both"/>
        <w:widowControl w:val="off"/>
      </w:pPr>
      <w:r>
        <w:rPr>
          <w:szCs w:val="28"/>
        </w:rPr>
        <w:t xml:space="preserve">«19.1. В случае принятия комиссией решения о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соответствии проекта критериям, установленным Законом Новосибирской области,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, возможности продолжения реализации проекта и изменение способа исполнения обязательств по передаче жилых помещений</w:t>
      </w:r>
      <w:r>
        <w:rPr>
          <w:szCs w:val="28"/>
        </w:rPr>
        <w:t xml:space="preserve"> уполномоченный орган </w:t>
      </w:r>
      <w:r>
        <w:rPr>
          <w:szCs w:val="28"/>
        </w:rPr>
        <w:t xml:space="preserve">подготавливает проект правового акта о внесении </w:t>
      </w:r>
      <w:r>
        <w:rPr>
          <w:szCs w:val="28"/>
        </w:rPr>
        <w:t xml:space="preserve"> изменений в распоряжение Губернатор</w:t>
      </w:r>
      <w:r>
        <w:rPr>
          <w:szCs w:val="28"/>
        </w:rPr>
        <w:t xml:space="preserve">а</w:t>
      </w:r>
      <w:r>
        <w:rPr>
          <w:szCs w:val="28"/>
        </w:rPr>
        <w:t xml:space="preserve"> Новосибирской области</w:t>
      </w:r>
      <w:r>
        <w:rPr>
          <w:highlight w:val="none"/>
        </w:rPr>
        <w:t xml:space="preserve"> в части изменения положений, устанавливающих 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способ исполнения обязательств</w:t>
      </w:r>
      <w:r>
        <w:rPr>
          <w:i w:val="0"/>
          <w:iCs w:val="0"/>
          <w:sz w:val="28"/>
          <w:szCs w:val="28"/>
          <w:highlight w:val="none"/>
          <w14:ligatures w14:val="none"/>
        </w:rPr>
        <w:t xml:space="preserve"> по передаче </w:t>
      </w:r>
      <w:r>
        <w:rPr>
          <w:b w:val="0"/>
          <w:bCs w:val="0"/>
          <w:i w:val="0"/>
          <w:iCs w:val="0"/>
          <w:sz w:val="28"/>
          <w:szCs w:val="28"/>
          <w:highlight w:val="white"/>
          <w14:ligatures w14:val="none"/>
        </w:rPr>
        <w:t xml:space="preserve">жилых помещений</w:t>
      </w:r>
      <w:r>
        <w:rPr>
          <w:szCs w:val="28"/>
        </w:rPr>
        <w:t xml:space="preserve">, предусматривающий поручение департаменту имущества и земельных отношений Новосибирской области или рекомендацию иному арендодателю (Территориальное управление Федерального агентства по управлению государственным имуществом в Новосиб</w:t>
      </w:r>
      <w:r>
        <w:rPr>
          <w:szCs w:val="28"/>
        </w:rPr>
        <w:t xml:space="preserve">ирской области или </w:t>
      </w:r>
      <w:r>
        <w:rPr>
          <w:szCs w:val="28"/>
          <w:highlight w:val="white"/>
        </w:rPr>
        <w:t xml:space="preserve">муниципальному образованию</w:t>
      </w:r>
      <w:r>
        <w:rPr>
          <w:szCs w:val="28"/>
        </w:rPr>
        <w:t xml:space="preserve"> Новосибирской области) внести изменения в договор аренды земельного участка.».</w:t>
      </w:r>
      <w:r/>
    </w:p>
    <w:p>
      <w:pPr>
        <w:jc w:val="both"/>
        <w:widowControl w:val="off"/>
        <w:rPr>
          <w:strike/>
        </w:rPr>
      </w:pPr>
      <w:r>
        <w:rPr>
          <w:strike/>
        </w:rPr>
      </w:r>
      <w:r>
        <w:rPr>
          <w:strike/>
        </w:rPr>
      </w:r>
      <w:r>
        <w:rPr>
          <w:strike/>
        </w:rPr>
      </w:r>
    </w:p>
    <w:p>
      <w:pPr>
        <w:ind w:left="0" w:right="0" w:firstLine="0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non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ind w:firstLine="567"/>
        <w:jc w:val="both"/>
        <w:rPr>
          <w:sz w:val="28"/>
          <w:szCs w:val="28"/>
          <w:highlight w:val="yellow"/>
          <w14:ligatures w14:val="none"/>
        </w:rPr>
      </w:pP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  <w:r>
        <w:rPr>
          <w:sz w:val="28"/>
          <w:szCs w:val="28"/>
          <w:highlight w:val="yellow"/>
          <w14:ligatures w14:val="none"/>
        </w:rPr>
      </w:r>
    </w:p>
    <w:p>
      <w:pPr>
        <w:ind w:left="0" w:right="0" w:firstLine="0"/>
        <w:jc w:val="both"/>
        <w:rPr>
          <w:highlight w:val="none"/>
          <w14:ligatures w14:val="none"/>
        </w:rPr>
      </w:pPr>
      <w:r>
        <w:rPr>
          <w:highlight w:val="none"/>
        </w:rPr>
      </w:r>
      <w:r>
        <w:rPr>
          <w:szCs w:val="28"/>
          <w:lang w:eastAsia="en-US"/>
        </w:rPr>
        <w:t xml:space="preserve">Губернатор Новосибирской области                                    </w:t>
      </w:r>
      <w:r>
        <w:rPr>
          <w:szCs w:val="28"/>
          <w:lang w:eastAsia="en-US"/>
        </w:rPr>
        <w:t xml:space="preserve"> </w:t>
      </w:r>
      <w:r>
        <w:rPr>
          <w:szCs w:val="28"/>
          <w:lang w:eastAsia="en-US"/>
        </w:rPr>
        <w:t xml:space="preserve">               </w:t>
      </w:r>
      <w:r>
        <w:rPr>
          <w:szCs w:val="28"/>
          <w:lang w:eastAsia="en-US"/>
        </w:rPr>
        <w:t xml:space="preserve">А.А. Травников</w:t>
      </w:r>
      <w:r>
        <w:rPr>
          <w:szCs w:val="28"/>
        </w:rPr>
      </w:r>
      <w:r>
        <w:rPr>
          <w:szCs w:val="28"/>
        </w:rPr>
      </w:r>
      <w:r>
        <w:rPr>
          <w:highlight w:val="none"/>
          <w14:ligatures w14:val="none"/>
        </w:rPr>
      </w:r>
    </w:p>
    <w:sectPr>
      <w:headerReference w:type="default" r:id="rId9"/>
      <w:headerReference w:type="even" r:id="rId10"/>
      <w:headerReference w:type="first" r:id="rId11"/>
      <w:footerReference w:type="first" r:id="rId12"/>
      <w:footnotePr/>
      <w:endnotePr/>
      <w:type w:val="continuous"/>
      <w:pgSz w:w="11907" w:h="16840" w:orient="portrait"/>
      <w:pgMar w:top="1135" w:right="567" w:bottom="1107" w:left="1418" w:header="720" w:footer="33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Times New Roman">
    <w:panose1 w:val="02020603050405020304"/>
  </w:font>
  <w:font w:name="Courier New">
    <w:panose1 w:val="02070309020205020404"/>
  </w:font>
  <w:font w:name="Tahoma">
    <w:panose1 w:val="020B060403050404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6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76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2</w:t>
    </w:r>
    <w:r>
      <w:fldChar w:fldCharType="end"/>
    </w:r>
    <w:r/>
  </w:p>
  <w:p>
    <w:pPr>
      <w:pStyle w:val="974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jc w:val="center"/>
    </w:pPr>
    <w:r>
      <w:t xml:space="preserve">3</w:t>
    </w:r>
    <w:r/>
  </w:p>
  <w:p>
    <w:pPr>
      <w:pStyle w:val="974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74"/>
      <w:tabs>
        <w:tab w:val="clear" w:pos="4677" w:leader="none"/>
        <w:tab w:val="left" w:pos="6097" w:leader="none"/>
        <w:tab w:val="clear" w:pos="9355" w:leader="none"/>
      </w:tabs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729" w:hanging="1020"/>
      </w:pPr>
      <w:rPr>
        <w:rFonts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488" w:hanging="408"/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260" w:hanging="360"/>
      </w:pPr>
      <w:rPr>
        <w:rFonts w:cs="Times New Roman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32" w:hanging="432"/>
      </w:pPr>
    </w:lvl>
    <w:lvl w:ilvl="1">
      <w:start w:val="1"/>
      <w:numFmt w:val="decimal"/>
      <w:isLgl w:val="false"/>
      <w:suff w:val="tab"/>
      <w:lvlText w:val="%1.%2."/>
      <w:lvlJc w:val="left"/>
      <w:pPr>
        <w:ind w:left="1429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6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20" w:hanging="180"/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6" w:hanging="720"/>
        <w:tabs>
          <w:tab w:val="num" w:pos="1146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506" w:hanging="360"/>
        <w:tabs>
          <w:tab w:val="num" w:pos="1506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  <w:tabs>
          <w:tab w:val="num" w:pos="2226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  <w:tabs>
          <w:tab w:val="num" w:pos="2946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  <w:tabs>
          <w:tab w:val="num" w:pos="3666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  <w:tabs>
          <w:tab w:val="num" w:pos="4386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  <w:tabs>
          <w:tab w:val="num" w:pos="5106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  <w:tabs>
          <w:tab w:val="num" w:pos="5826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  <w:tabs>
          <w:tab w:val="num" w:pos="6546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144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86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8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0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2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74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46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8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04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0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</w:p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353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073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93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13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33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953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673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93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13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tab"/>
      <w:lvlText w:val="§"/>
      <w:lvlJc w:val="left"/>
      <w:pPr>
        <w:ind w:left="1276" w:hanging="360"/>
      </w:pPr>
      <w:rPr>
        <w:rFonts w:ascii="Wingdings" w:hAnsi="Wingdings" w:eastAsia="Wingdings" w:cs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720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276" w:hanging="360"/>
      </w:pPr>
      <w:rPr>
        <w:rFonts w:ascii="Courier New" w:hAnsi="Courier New" w:eastAsia="Courier New" w:cs="Courier New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ascii="Wingdings" w:hAnsi="Wingdings" w:eastAsia="Wingdings" w:cs="Wingdings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276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96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716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436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156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76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96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316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036" w:hanging="180"/>
      </w:pPr>
    </w:lvl>
  </w:abstractNum>
  <w:num w:numId="1">
    <w:abstractNumId w:val="22"/>
  </w:num>
  <w:num w:numId="2">
    <w:abstractNumId w:val="2"/>
  </w:num>
  <w:num w:numId="3">
    <w:abstractNumId w:val="14"/>
  </w:num>
  <w:num w:numId="4">
    <w:abstractNumId w:val="17"/>
  </w:num>
  <w:num w:numId="5">
    <w:abstractNumId w:val="13"/>
  </w:num>
  <w:num w:numId="6">
    <w:abstractNumId w:val="10"/>
  </w:num>
  <w:num w:numId="7">
    <w:abstractNumId w:val="16"/>
  </w:num>
  <w:num w:numId="8">
    <w:abstractNumId w:val="21"/>
  </w:num>
  <w:num w:numId="9">
    <w:abstractNumId w:val="4"/>
  </w:num>
  <w:num w:numId="10">
    <w:abstractNumId w:val="9"/>
  </w:num>
  <w:num w:numId="11">
    <w:abstractNumId w:val="20"/>
  </w:num>
  <w:num w:numId="12">
    <w:abstractNumId w:val="3"/>
  </w:num>
  <w:num w:numId="13">
    <w:abstractNumId w:val="1"/>
  </w:num>
  <w:num w:numId="14">
    <w:abstractNumId w:val="23"/>
  </w:num>
  <w:num w:numId="15">
    <w:abstractNumId w:val="8"/>
  </w:num>
  <w:num w:numId="16">
    <w:abstractNumId w:val="12"/>
  </w:num>
  <w:num w:numId="17">
    <w:abstractNumId w:val="5"/>
  </w:num>
  <w:num w:numId="18">
    <w:abstractNumId w:val="6"/>
  </w:num>
  <w:num w:numId="19">
    <w:abstractNumId w:val="0"/>
  </w:num>
  <w:num w:numId="20">
    <w:abstractNumId w:val="19"/>
  </w:num>
  <w:num w:numId="21">
    <w:abstractNumId w:val="11"/>
  </w:num>
  <w:num w:numId="22">
    <w:abstractNumId w:val="7"/>
  </w:num>
  <w:num w:numId="23">
    <w:abstractNumId w:val="15"/>
  </w:num>
  <w:num w:numId="24">
    <w:abstractNumId w:val="18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76">
    <w:name w:val="Heading 1"/>
    <w:basedOn w:val="954"/>
    <w:next w:val="954"/>
    <w:link w:val="77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77">
    <w:name w:val="Heading 1 Char"/>
    <w:link w:val="776"/>
    <w:uiPriority w:val="9"/>
    <w:rPr>
      <w:rFonts w:ascii="Arial" w:hAnsi="Arial" w:eastAsia="Arial" w:cs="Arial"/>
      <w:sz w:val="40"/>
      <w:szCs w:val="40"/>
    </w:rPr>
  </w:style>
  <w:style w:type="paragraph" w:styleId="778">
    <w:name w:val="Heading 2"/>
    <w:basedOn w:val="954"/>
    <w:next w:val="954"/>
    <w:link w:val="77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79">
    <w:name w:val="Heading 2 Char"/>
    <w:link w:val="778"/>
    <w:uiPriority w:val="9"/>
    <w:rPr>
      <w:rFonts w:ascii="Arial" w:hAnsi="Arial" w:eastAsia="Arial" w:cs="Arial"/>
      <w:sz w:val="34"/>
    </w:rPr>
  </w:style>
  <w:style w:type="paragraph" w:styleId="780">
    <w:name w:val="Heading 3"/>
    <w:basedOn w:val="954"/>
    <w:next w:val="954"/>
    <w:link w:val="78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81">
    <w:name w:val="Heading 3 Char"/>
    <w:link w:val="780"/>
    <w:uiPriority w:val="9"/>
    <w:rPr>
      <w:rFonts w:ascii="Arial" w:hAnsi="Arial" w:eastAsia="Arial" w:cs="Arial"/>
      <w:sz w:val="30"/>
      <w:szCs w:val="30"/>
    </w:rPr>
  </w:style>
  <w:style w:type="paragraph" w:styleId="782">
    <w:name w:val="Heading 4"/>
    <w:basedOn w:val="954"/>
    <w:next w:val="954"/>
    <w:link w:val="78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83">
    <w:name w:val="Heading 4 Char"/>
    <w:link w:val="782"/>
    <w:uiPriority w:val="9"/>
    <w:rPr>
      <w:rFonts w:ascii="Arial" w:hAnsi="Arial" w:eastAsia="Arial" w:cs="Arial"/>
      <w:b/>
      <w:bCs/>
      <w:sz w:val="26"/>
      <w:szCs w:val="26"/>
    </w:rPr>
  </w:style>
  <w:style w:type="paragraph" w:styleId="784">
    <w:name w:val="Heading 5"/>
    <w:basedOn w:val="954"/>
    <w:next w:val="954"/>
    <w:link w:val="78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85">
    <w:name w:val="Heading 5 Char"/>
    <w:link w:val="784"/>
    <w:uiPriority w:val="9"/>
    <w:rPr>
      <w:rFonts w:ascii="Arial" w:hAnsi="Arial" w:eastAsia="Arial" w:cs="Arial"/>
      <w:b/>
      <w:bCs/>
      <w:sz w:val="24"/>
      <w:szCs w:val="24"/>
    </w:rPr>
  </w:style>
  <w:style w:type="paragraph" w:styleId="786">
    <w:name w:val="Heading 6"/>
    <w:basedOn w:val="954"/>
    <w:next w:val="954"/>
    <w:link w:val="78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87">
    <w:name w:val="Heading 6 Char"/>
    <w:link w:val="786"/>
    <w:uiPriority w:val="9"/>
    <w:rPr>
      <w:rFonts w:ascii="Arial" w:hAnsi="Arial" w:eastAsia="Arial" w:cs="Arial"/>
      <w:b/>
      <w:bCs/>
      <w:sz w:val="22"/>
      <w:szCs w:val="22"/>
    </w:rPr>
  </w:style>
  <w:style w:type="paragraph" w:styleId="788">
    <w:name w:val="Heading 7"/>
    <w:basedOn w:val="954"/>
    <w:next w:val="954"/>
    <w:link w:val="78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89">
    <w:name w:val="Heading 7 Char"/>
    <w:link w:val="78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90">
    <w:name w:val="Heading 8"/>
    <w:basedOn w:val="954"/>
    <w:next w:val="954"/>
    <w:link w:val="79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91">
    <w:name w:val="Heading 8 Char"/>
    <w:link w:val="790"/>
    <w:uiPriority w:val="9"/>
    <w:rPr>
      <w:rFonts w:ascii="Arial" w:hAnsi="Arial" w:eastAsia="Arial" w:cs="Arial"/>
      <w:i/>
      <w:iCs/>
      <w:sz w:val="22"/>
      <w:szCs w:val="22"/>
    </w:rPr>
  </w:style>
  <w:style w:type="paragraph" w:styleId="792">
    <w:name w:val="Heading 9"/>
    <w:basedOn w:val="954"/>
    <w:next w:val="954"/>
    <w:link w:val="79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93">
    <w:name w:val="Heading 9 Char"/>
    <w:link w:val="792"/>
    <w:uiPriority w:val="9"/>
    <w:rPr>
      <w:rFonts w:ascii="Arial" w:hAnsi="Arial" w:eastAsia="Arial" w:cs="Arial"/>
      <w:i/>
      <w:iCs/>
      <w:sz w:val="21"/>
      <w:szCs w:val="21"/>
    </w:rPr>
  </w:style>
  <w:style w:type="paragraph" w:styleId="794">
    <w:name w:val="List Paragraph"/>
    <w:basedOn w:val="954"/>
    <w:uiPriority w:val="34"/>
    <w:qFormat/>
    <w:pPr>
      <w:contextualSpacing/>
      <w:ind w:left="720"/>
    </w:pPr>
  </w:style>
  <w:style w:type="paragraph" w:styleId="795">
    <w:name w:val="No Spacing"/>
    <w:uiPriority w:val="1"/>
    <w:qFormat/>
    <w:pPr>
      <w:spacing w:before="0" w:after="0" w:line="240" w:lineRule="auto"/>
    </w:pPr>
  </w:style>
  <w:style w:type="paragraph" w:styleId="796">
    <w:name w:val="Title"/>
    <w:basedOn w:val="954"/>
    <w:next w:val="954"/>
    <w:link w:val="79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97">
    <w:name w:val="Title Char"/>
    <w:link w:val="796"/>
    <w:uiPriority w:val="10"/>
    <w:rPr>
      <w:sz w:val="48"/>
      <w:szCs w:val="48"/>
    </w:rPr>
  </w:style>
  <w:style w:type="paragraph" w:styleId="798">
    <w:name w:val="Subtitle"/>
    <w:basedOn w:val="954"/>
    <w:next w:val="954"/>
    <w:link w:val="799"/>
    <w:uiPriority w:val="11"/>
    <w:qFormat/>
    <w:pPr>
      <w:spacing w:before="200" w:after="200"/>
    </w:pPr>
    <w:rPr>
      <w:sz w:val="24"/>
      <w:szCs w:val="24"/>
    </w:rPr>
  </w:style>
  <w:style w:type="character" w:styleId="799">
    <w:name w:val="Subtitle Char"/>
    <w:link w:val="798"/>
    <w:uiPriority w:val="11"/>
    <w:rPr>
      <w:sz w:val="24"/>
      <w:szCs w:val="24"/>
    </w:rPr>
  </w:style>
  <w:style w:type="paragraph" w:styleId="800">
    <w:name w:val="Quote"/>
    <w:basedOn w:val="954"/>
    <w:next w:val="954"/>
    <w:link w:val="801"/>
    <w:uiPriority w:val="29"/>
    <w:qFormat/>
    <w:pPr>
      <w:ind w:left="720" w:right="720"/>
    </w:pPr>
    <w:rPr>
      <w:i/>
    </w:rPr>
  </w:style>
  <w:style w:type="character" w:styleId="801">
    <w:name w:val="Quote Char"/>
    <w:link w:val="800"/>
    <w:uiPriority w:val="29"/>
    <w:rPr>
      <w:i/>
    </w:rPr>
  </w:style>
  <w:style w:type="paragraph" w:styleId="802">
    <w:name w:val="Intense Quote"/>
    <w:basedOn w:val="954"/>
    <w:next w:val="954"/>
    <w:link w:val="80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803">
    <w:name w:val="Intense Quote Char"/>
    <w:link w:val="802"/>
    <w:uiPriority w:val="30"/>
    <w:rPr>
      <w:i/>
    </w:rPr>
  </w:style>
  <w:style w:type="paragraph" w:styleId="804">
    <w:name w:val="Header"/>
    <w:basedOn w:val="954"/>
    <w:link w:val="8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5">
    <w:name w:val="Header Char"/>
    <w:link w:val="804"/>
    <w:uiPriority w:val="99"/>
  </w:style>
  <w:style w:type="paragraph" w:styleId="806">
    <w:name w:val="Footer"/>
    <w:basedOn w:val="954"/>
    <w:link w:val="80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807">
    <w:name w:val="Footer Char"/>
    <w:link w:val="806"/>
    <w:uiPriority w:val="99"/>
  </w:style>
  <w:style w:type="paragraph" w:styleId="808">
    <w:name w:val="Caption"/>
    <w:basedOn w:val="954"/>
    <w:next w:val="9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809">
    <w:name w:val="Caption Char"/>
    <w:basedOn w:val="808"/>
    <w:link w:val="806"/>
    <w:uiPriority w:val="99"/>
  </w:style>
  <w:style w:type="table" w:styleId="81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81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81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81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81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3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4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4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4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4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4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4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4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5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5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5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5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5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5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5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5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5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6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7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7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7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7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7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7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8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8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9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9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90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90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90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90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90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90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90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90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90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91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91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91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91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91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91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1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1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1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1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92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92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92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92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92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92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92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93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93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93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93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93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93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936">
    <w:name w:val="Hyperlink"/>
    <w:uiPriority w:val="99"/>
    <w:unhideWhenUsed/>
    <w:rPr>
      <w:color w:val="0000ff" w:themeColor="hyperlink"/>
      <w:u w:val="single"/>
    </w:rPr>
  </w:style>
  <w:style w:type="paragraph" w:styleId="937">
    <w:name w:val="footnote text"/>
    <w:basedOn w:val="954"/>
    <w:link w:val="938"/>
    <w:uiPriority w:val="99"/>
    <w:semiHidden/>
    <w:unhideWhenUsed/>
    <w:pPr>
      <w:spacing w:after="40" w:line="240" w:lineRule="auto"/>
    </w:pPr>
    <w:rPr>
      <w:sz w:val="18"/>
    </w:rPr>
  </w:style>
  <w:style w:type="character" w:styleId="938">
    <w:name w:val="Footnote Text Char"/>
    <w:link w:val="937"/>
    <w:uiPriority w:val="99"/>
    <w:rPr>
      <w:sz w:val="18"/>
    </w:rPr>
  </w:style>
  <w:style w:type="character" w:styleId="939">
    <w:name w:val="footnote reference"/>
    <w:uiPriority w:val="99"/>
    <w:unhideWhenUsed/>
    <w:rPr>
      <w:vertAlign w:val="superscript"/>
    </w:rPr>
  </w:style>
  <w:style w:type="paragraph" w:styleId="940">
    <w:name w:val="endnote text"/>
    <w:basedOn w:val="954"/>
    <w:link w:val="941"/>
    <w:uiPriority w:val="99"/>
    <w:semiHidden/>
    <w:unhideWhenUsed/>
    <w:pPr>
      <w:spacing w:after="0" w:line="240" w:lineRule="auto"/>
    </w:pPr>
    <w:rPr>
      <w:sz w:val="20"/>
    </w:rPr>
  </w:style>
  <w:style w:type="character" w:styleId="941">
    <w:name w:val="Endnote Text Char"/>
    <w:link w:val="940"/>
    <w:uiPriority w:val="99"/>
    <w:rPr>
      <w:sz w:val="20"/>
    </w:rPr>
  </w:style>
  <w:style w:type="character" w:styleId="942">
    <w:name w:val="endnote reference"/>
    <w:uiPriority w:val="99"/>
    <w:semiHidden/>
    <w:unhideWhenUsed/>
    <w:rPr>
      <w:vertAlign w:val="superscript"/>
    </w:rPr>
  </w:style>
  <w:style w:type="paragraph" w:styleId="943">
    <w:name w:val="toc 1"/>
    <w:basedOn w:val="954"/>
    <w:next w:val="954"/>
    <w:uiPriority w:val="39"/>
    <w:unhideWhenUsed/>
    <w:pPr>
      <w:ind w:left="0" w:right="0" w:firstLine="0"/>
      <w:spacing w:after="57"/>
    </w:pPr>
  </w:style>
  <w:style w:type="paragraph" w:styleId="944">
    <w:name w:val="toc 2"/>
    <w:basedOn w:val="954"/>
    <w:next w:val="954"/>
    <w:uiPriority w:val="39"/>
    <w:unhideWhenUsed/>
    <w:pPr>
      <w:ind w:left="283" w:right="0" w:firstLine="0"/>
      <w:spacing w:after="57"/>
    </w:pPr>
  </w:style>
  <w:style w:type="paragraph" w:styleId="945">
    <w:name w:val="toc 3"/>
    <w:basedOn w:val="954"/>
    <w:next w:val="954"/>
    <w:uiPriority w:val="39"/>
    <w:unhideWhenUsed/>
    <w:pPr>
      <w:ind w:left="567" w:right="0" w:firstLine="0"/>
      <w:spacing w:after="57"/>
    </w:pPr>
  </w:style>
  <w:style w:type="paragraph" w:styleId="946">
    <w:name w:val="toc 4"/>
    <w:basedOn w:val="954"/>
    <w:next w:val="954"/>
    <w:uiPriority w:val="39"/>
    <w:unhideWhenUsed/>
    <w:pPr>
      <w:ind w:left="850" w:right="0" w:firstLine="0"/>
      <w:spacing w:after="57"/>
    </w:pPr>
  </w:style>
  <w:style w:type="paragraph" w:styleId="947">
    <w:name w:val="toc 5"/>
    <w:basedOn w:val="954"/>
    <w:next w:val="954"/>
    <w:uiPriority w:val="39"/>
    <w:unhideWhenUsed/>
    <w:pPr>
      <w:ind w:left="1134" w:right="0" w:firstLine="0"/>
      <w:spacing w:after="57"/>
    </w:pPr>
  </w:style>
  <w:style w:type="paragraph" w:styleId="948">
    <w:name w:val="toc 6"/>
    <w:basedOn w:val="954"/>
    <w:next w:val="954"/>
    <w:uiPriority w:val="39"/>
    <w:unhideWhenUsed/>
    <w:pPr>
      <w:ind w:left="1417" w:right="0" w:firstLine="0"/>
      <w:spacing w:after="57"/>
    </w:pPr>
  </w:style>
  <w:style w:type="paragraph" w:styleId="949">
    <w:name w:val="toc 7"/>
    <w:basedOn w:val="954"/>
    <w:next w:val="954"/>
    <w:uiPriority w:val="39"/>
    <w:unhideWhenUsed/>
    <w:pPr>
      <w:ind w:left="1701" w:right="0" w:firstLine="0"/>
      <w:spacing w:after="57"/>
    </w:pPr>
  </w:style>
  <w:style w:type="paragraph" w:styleId="950">
    <w:name w:val="toc 8"/>
    <w:basedOn w:val="954"/>
    <w:next w:val="954"/>
    <w:uiPriority w:val="39"/>
    <w:unhideWhenUsed/>
    <w:pPr>
      <w:ind w:left="1984" w:right="0" w:firstLine="0"/>
      <w:spacing w:after="57"/>
    </w:pPr>
  </w:style>
  <w:style w:type="paragraph" w:styleId="951">
    <w:name w:val="toc 9"/>
    <w:basedOn w:val="954"/>
    <w:next w:val="954"/>
    <w:uiPriority w:val="39"/>
    <w:unhideWhenUsed/>
    <w:pPr>
      <w:ind w:left="2268" w:right="0" w:firstLine="0"/>
      <w:spacing w:after="57"/>
    </w:pPr>
  </w:style>
  <w:style w:type="paragraph" w:styleId="952">
    <w:name w:val="TOC Heading"/>
    <w:uiPriority w:val="39"/>
    <w:unhideWhenUsed/>
  </w:style>
  <w:style w:type="paragraph" w:styleId="953">
    <w:name w:val="table of figures"/>
    <w:basedOn w:val="954"/>
    <w:next w:val="954"/>
    <w:uiPriority w:val="99"/>
    <w:unhideWhenUsed/>
    <w:pPr>
      <w:spacing w:after="0" w:afterAutospacing="0"/>
    </w:pPr>
  </w:style>
  <w:style w:type="paragraph" w:styleId="954" w:default="1">
    <w:name w:val="Normal"/>
    <w:next w:val="954"/>
    <w:link w:val="954"/>
    <w:qFormat/>
    <w:rPr>
      <w:sz w:val="28"/>
      <w:lang w:val="ru-RU" w:eastAsia="ru-RU" w:bidi="ar-SA"/>
    </w:rPr>
  </w:style>
  <w:style w:type="paragraph" w:styleId="955">
    <w:name w:val="Заголовок 1"/>
    <w:basedOn w:val="954"/>
    <w:next w:val="954"/>
    <w:link w:val="954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956">
    <w:name w:val="Заголовок 2"/>
    <w:basedOn w:val="954"/>
    <w:next w:val="954"/>
    <w:link w:val="954"/>
    <w:qFormat/>
    <w:pPr>
      <w:jc w:val="center"/>
      <w:keepNext/>
      <w:spacing w:line="216" w:lineRule="auto"/>
      <w:outlineLvl w:val="1"/>
    </w:pPr>
    <w:rPr>
      <w:b/>
    </w:rPr>
  </w:style>
  <w:style w:type="paragraph" w:styleId="957">
    <w:name w:val="Заголовок 4"/>
    <w:basedOn w:val="954"/>
    <w:next w:val="954"/>
    <w:link w:val="954"/>
    <w:qFormat/>
    <w:pPr>
      <w:keepNext/>
      <w:spacing w:before="240" w:after="60"/>
      <w:outlineLvl w:val="3"/>
    </w:pPr>
    <w:rPr>
      <w:b/>
      <w:bCs/>
      <w:szCs w:val="28"/>
    </w:rPr>
  </w:style>
  <w:style w:type="character" w:styleId="958">
    <w:name w:val="Основной шрифт абзаца"/>
    <w:next w:val="958"/>
    <w:link w:val="954"/>
    <w:semiHidden/>
  </w:style>
  <w:style w:type="table" w:styleId="959">
    <w:name w:val="Обычная таблица"/>
    <w:next w:val="959"/>
    <w:link w:val="954"/>
    <w:uiPriority w:val="99"/>
    <w:semiHidden/>
    <w:unhideWhenUsed/>
    <w:tblPr/>
  </w:style>
  <w:style w:type="numbering" w:styleId="960">
    <w:name w:val="Нет списка"/>
    <w:next w:val="960"/>
    <w:link w:val="954"/>
    <w:uiPriority w:val="99"/>
    <w:semiHidden/>
    <w:unhideWhenUsed/>
  </w:style>
  <w:style w:type="paragraph" w:styleId="961">
    <w:name w:val="Основной текст"/>
    <w:basedOn w:val="954"/>
    <w:next w:val="961"/>
    <w:link w:val="954"/>
    <w:semiHidden/>
    <w:pPr>
      <w:jc w:val="center"/>
    </w:pPr>
    <w:rPr>
      <w:b/>
    </w:rPr>
  </w:style>
  <w:style w:type="paragraph" w:styleId="962">
    <w:name w:val="ConsNormal"/>
    <w:next w:val="962"/>
    <w:link w:val="954"/>
    <w:pPr>
      <w:ind w:firstLine="720"/>
    </w:pPr>
    <w:rPr>
      <w:rFonts w:ascii="Arial" w:hAnsi="Arial"/>
      <w:sz w:val="22"/>
      <w:lang w:val="ru-RU" w:eastAsia="ru-RU" w:bidi="ar-SA"/>
    </w:rPr>
  </w:style>
  <w:style w:type="paragraph" w:styleId="963">
    <w:name w:val="заголовок 2"/>
    <w:basedOn w:val="954"/>
    <w:next w:val="954"/>
    <w:link w:val="954"/>
    <w:pPr>
      <w:ind w:firstLine="720"/>
      <w:jc w:val="center"/>
      <w:keepNext/>
      <w:outlineLvl w:val="1"/>
    </w:pPr>
    <w:rPr>
      <w:b/>
    </w:rPr>
  </w:style>
  <w:style w:type="paragraph" w:styleId="964">
    <w:name w:val="Основной текст с отступом 3"/>
    <w:basedOn w:val="954"/>
    <w:next w:val="964"/>
    <w:link w:val="954"/>
    <w:semiHidden/>
    <w:pPr>
      <w:ind w:firstLine="600"/>
      <w:jc w:val="center"/>
      <w:spacing w:line="260" w:lineRule="auto"/>
      <w:widowControl w:val="off"/>
    </w:pPr>
  </w:style>
  <w:style w:type="paragraph" w:styleId="965">
    <w:name w:val="ConsPlusNormal"/>
    <w:next w:val="965"/>
    <w:link w:val="954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66">
    <w:name w:val="ConsPlusTitle"/>
    <w:next w:val="966"/>
    <w:link w:val="954"/>
    <w:rPr>
      <w:rFonts w:ascii="Calibri" w:hAnsi="Calibri" w:cs="Calibri"/>
      <w:b/>
      <w:bCs/>
      <w:sz w:val="22"/>
      <w:szCs w:val="22"/>
      <w:lang w:val="ru-RU" w:eastAsia="en-US" w:bidi="ar-SA"/>
    </w:rPr>
  </w:style>
  <w:style w:type="paragraph" w:styleId="967">
    <w:name w:val="Текст выноски"/>
    <w:basedOn w:val="954"/>
    <w:next w:val="967"/>
    <w:link w:val="954"/>
    <w:semiHidden/>
    <w:rPr>
      <w:rFonts w:ascii="Tahoma" w:hAnsi="Tahoma" w:cs="Tahoma"/>
      <w:sz w:val="16"/>
      <w:szCs w:val="16"/>
    </w:rPr>
  </w:style>
  <w:style w:type="paragraph" w:styleId="968">
    <w:name w:val="Письмо главы"/>
    <w:basedOn w:val="954"/>
    <w:next w:val="968"/>
    <w:link w:val="954"/>
    <w:pPr>
      <w:ind w:firstLine="709"/>
      <w:jc w:val="both"/>
    </w:pPr>
    <w:rPr>
      <w:szCs w:val="28"/>
    </w:rPr>
  </w:style>
  <w:style w:type="character" w:styleId="969">
    <w:name w:val="Гиперссылка"/>
    <w:next w:val="969"/>
    <w:link w:val="954"/>
    <w:rPr>
      <w:color w:val="0000ff"/>
      <w:u w:val="single"/>
    </w:rPr>
  </w:style>
  <w:style w:type="paragraph" w:styleId="970">
    <w:name w:val="ConsPlusNonformat"/>
    <w:next w:val="970"/>
    <w:link w:val="954"/>
    <w:pPr>
      <w:widowControl w:val="off"/>
    </w:pPr>
    <w:rPr>
      <w:rFonts w:ascii="Courier New" w:hAnsi="Courier New" w:cs="Courier New"/>
      <w:lang w:val="ru-RU" w:eastAsia="ru-RU" w:bidi="ar-SA"/>
    </w:rPr>
  </w:style>
  <w:style w:type="character" w:styleId="971">
    <w:name w:val="Строгий"/>
    <w:next w:val="971"/>
    <w:link w:val="954"/>
    <w:qFormat/>
    <w:rPr>
      <w:b/>
      <w:bCs/>
    </w:rPr>
  </w:style>
  <w:style w:type="paragraph" w:styleId="972">
    <w:name w:val="Абзац списка"/>
    <w:basedOn w:val="954"/>
    <w:next w:val="972"/>
    <w:link w:val="954"/>
    <w:uiPriority w:val="34"/>
    <w:qFormat/>
    <w:pPr>
      <w:contextualSpacing/>
      <w:ind w:left="720"/>
    </w:pPr>
    <w:rPr>
      <w:rFonts w:eastAsia="Calibri"/>
      <w:sz w:val="20"/>
    </w:rPr>
  </w:style>
  <w:style w:type="paragraph" w:styleId="973">
    <w:name w:val="Обычный (веб)"/>
    <w:basedOn w:val="954"/>
    <w:next w:val="973"/>
    <w:link w:val="954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paragraph" w:styleId="974">
    <w:name w:val="Верхний колонтитул"/>
    <w:basedOn w:val="954"/>
    <w:next w:val="974"/>
    <w:link w:val="975"/>
    <w:uiPriority w:val="99"/>
    <w:pPr>
      <w:tabs>
        <w:tab w:val="center" w:pos="4677" w:leader="none"/>
        <w:tab w:val="right" w:pos="9355" w:leader="none"/>
      </w:tabs>
    </w:pPr>
  </w:style>
  <w:style w:type="character" w:styleId="975">
    <w:name w:val="Верхний колонтитул Знак"/>
    <w:next w:val="975"/>
    <w:link w:val="974"/>
    <w:uiPriority w:val="99"/>
    <w:rPr>
      <w:sz w:val="28"/>
    </w:rPr>
  </w:style>
  <w:style w:type="paragraph" w:styleId="976">
    <w:name w:val="Нижний колонтитул"/>
    <w:basedOn w:val="954"/>
    <w:next w:val="976"/>
    <w:link w:val="977"/>
    <w:pPr>
      <w:tabs>
        <w:tab w:val="center" w:pos="4677" w:leader="none"/>
        <w:tab w:val="right" w:pos="9355" w:leader="none"/>
      </w:tabs>
    </w:pPr>
  </w:style>
  <w:style w:type="character" w:styleId="977">
    <w:name w:val="Нижний колонтитул Знак"/>
    <w:next w:val="977"/>
    <w:link w:val="976"/>
    <w:rPr>
      <w:sz w:val="28"/>
    </w:rPr>
  </w:style>
  <w:style w:type="character" w:styleId="978">
    <w:name w:val="Знак примечания"/>
    <w:next w:val="978"/>
    <w:link w:val="954"/>
    <w:rPr>
      <w:sz w:val="16"/>
      <w:szCs w:val="16"/>
    </w:rPr>
  </w:style>
  <w:style w:type="paragraph" w:styleId="979">
    <w:name w:val="Текст примечания"/>
    <w:basedOn w:val="954"/>
    <w:next w:val="979"/>
    <w:link w:val="980"/>
    <w:rPr>
      <w:sz w:val="20"/>
    </w:rPr>
  </w:style>
  <w:style w:type="character" w:styleId="980">
    <w:name w:val="Текст примечания Знак"/>
    <w:basedOn w:val="958"/>
    <w:next w:val="980"/>
    <w:link w:val="979"/>
  </w:style>
  <w:style w:type="paragraph" w:styleId="981">
    <w:name w:val="Тема примечания"/>
    <w:basedOn w:val="979"/>
    <w:next w:val="979"/>
    <w:link w:val="982"/>
    <w:rPr>
      <w:b/>
      <w:bCs/>
    </w:rPr>
  </w:style>
  <w:style w:type="character" w:styleId="982">
    <w:name w:val="Тема примечания Знак"/>
    <w:next w:val="982"/>
    <w:link w:val="981"/>
    <w:rPr>
      <w:b/>
      <w:bCs/>
    </w:rPr>
  </w:style>
  <w:style w:type="character" w:styleId="983" w:default="1">
    <w:name w:val="Default Paragraph Font"/>
    <w:uiPriority w:val="1"/>
    <w:semiHidden/>
    <w:unhideWhenUsed/>
  </w:style>
  <w:style w:type="numbering" w:styleId="984" w:default="1">
    <w:name w:val="No List"/>
    <w:uiPriority w:val="99"/>
    <w:semiHidden/>
    <w:unhideWhenUsed/>
  </w:style>
  <w:style w:type="table" w:styleId="985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hyperlink" Target="http://10.12.1.46/cons/cgi/online.cgi?req=doc&amp;base=RLAW049&amp;n=170902&amp;dst=100014&amp;field=134&amp;date=18.03.2025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ANO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СТРОИТЕЛЬСТВА И ЖИЛИЩНО-КОММУНАЛЬНОГО ХОЗЯЙСТВА НОВОСИБИРСКОЙ ОБЛАСТИ</dc:title>
  <dc:creator>User</dc:creator>
  <cp:revision>43</cp:revision>
  <dcterms:created xsi:type="dcterms:W3CDTF">2024-01-17T02:49:00Z</dcterms:created>
  <dcterms:modified xsi:type="dcterms:W3CDTF">2025-03-21T09:56:05Z</dcterms:modified>
  <cp:version>1048576</cp:version>
</cp:coreProperties>
</file>