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«____» _____________ </w:t>
      </w:r>
      <w:r>
        <w:rPr>
          <w:rFonts w:ascii="Times New Roman" w:hAnsi="Times New Roman" w:cs="Times New Roman"/>
          <w:sz w:val="28"/>
          <w:szCs w:val="28"/>
        </w:rPr>
        <w:t xml:space="preserve">2025 г.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Новосибирск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</w:pPr>
      <w:r/>
      <w:r/>
    </w:p>
    <w:p>
      <w:pPr>
        <w:ind w:left="-142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Порядка ведения реестра выданных заключений технологического и ценового аудита обоснования инвестиций и предоставления содержащейся в нем информации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-142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142" w:firstLine="8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пунктами 3 и 16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овременно выполнение работ по проектированию, строительству и вводу в эксплуатацию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12.05.2017 № 563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 р и 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з ы в а ю: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 Установить прилагаемый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ведения реестра выданных заключений технологического и ценового аудита обоснования инвестиций и предоставления содержащейся в нем информации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Контроль за исполнением настоящего приказа возложить на первого заместителя министра строительства Новосибирской области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Тимонова Д.С.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Д.Н. Богомолов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Т.М. Бахарева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228-69-68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991" w:type="dxa"/>
        <w:tblLook w:val="04A0" w:firstRow="1" w:lastRow="0" w:firstColumn="1" w:lastColumn="0" w:noHBand="0" w:noVBand="1"/>
      </w:tblPr>
      <w:tblGrid>
        <w:gridCol w:w="4644"/>
        <w:gridCol w:w="1843"/>
        <w:gridCol w:w="3504"/>
      </w:tblGrid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министра 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35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Д.С. Тимонов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«____»___________ 2025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– начальник управления экономики 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35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Ю.В. Сырова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 2025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35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Р.Г. Вольтер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 2025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организационно-контрольной и кадровой работы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35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С.А. Кондрюкова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«____»___________ 2025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Список Рассылки: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Прокуратура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Главное управление Министерства юстиции РФ по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Законодательное Собрание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Размещение (опубликование) на «Официальном интернет-портале правовой информации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www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.nsopravo.ru)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Размещение (опубликование) на официальном сайте министерства строительства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6. Государственное бюджетное учреждение Новосибирской области «Государственная вневедомственная экспертиза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sectPr>
          <w:headerReference w:type="default" r:id="rId10"/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к приказу министерства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от __________ № 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883"/>
        <w:ind w:left="4961" w:right="0" w:firstLine="0"/>
        <w:jc w:val="center"/>
        <w:spacing w:before="0" w:after="0" w:line="566" w:lineRule="atLeas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97"/>
        <w:ind w:left="0"/>
        <w:jc w:val="center"/>
        <w:spacing w:before="0" w:after="0" w:afterAutospacing="0" w:line="566" w:lineRule="atLeast"/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</w:rPr>
        <w:t xml:space="preserve">ПОРЯДОК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/>
        <w:jc w:val="center"/>
        <w:spacing w:before="0" w:after="0" w:afterAutospacing="0" w:line="566" w:lineRule="atLeas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</w:rPr>
        <w:t xml:space="preserve">ведения реестра выданных заключений технологического и ценового аудита обоснования инвестиций и предоставления со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держащейся в нем информации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/>
        <w:jc w:val="center"/>
        <w:spacing w:before="0" w:after="0" w:afterAutospacing="0" w:line="566" w:lineRule="atLeast"/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 Настоящий Порядок устанавливает правила ведения реестра выданных заключений т</w:t>
      </w:r>
      <w:r>
        <w:rPr>
          <w:rFonts w:ascii="Times New Roman" w:hAnsi="Times New Roman" w:eastAsia="Times New Roman" w:cs="Times New Roman"/>
          <w:sz w:val="28"/>
        </w:rPr>
        <w:t xml:space="preserve">ехнологического и ценового аудита обоснования инвестиций (далее – Реестр)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</w:t>
      </w:r>
      <w:r>
        <w:rPr>
          <w:rFonts w:ascii="Times New Roman" w:hAnsi="Times New Roman" w:eastAsia="Times New Roman" w:cs="Times New Roman"/>
          <w:sz w:val="28"/>
        </w:rPr>
        <w:t xml:space="preserve">подведомственным министерству строи</w:t>
      </w:r>
      <w:r>
        <w:rPr>
          <w:rFonts w:ascii="Times New Roman" w:hAnsi="Times New Roman" w:eastAsia="Times New Roman" w:cs="Times New Roman"/>
          <w:sz w:val="28"/>
        </w:rPr>
        <w:t xml:space="preserve">тельства Новосибирской области государственным бюджетным учреждением  Новосибирской области «Государственная вневедомственная экспертиза Новосибирской области» (далее - Учреждение), а также порядок предоставления сведений из Реестра заинтересованным лицам.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 Ведение Реестра осуществляется Учреждением.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3. Реестр ведется на русском языке в электронном виде.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4. Реестр состоит из отдельных записей, каждая из которых относится к отдельному заключению технологического и ценового аудита обоснования инвестиций (далее - заключение). Каждая запись в Реестре содержит следующие разделы: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1) «Идентификационные сведения об исполнителях работ», в который включаются: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а) идентификационные сведения об исполнителях работ – лицах, осуществивших подготовку обоснования инвестиций (фамилия, имя, отчество (при нал</w:t>
      </w:r>
      <w:r>
        <w:rPr>
          <w:rFonts w:ascii="Times New Roman" w:hAnsi="Times New Roman" w:eastAsia="Times New Roman" w:cs="Times New Roman"/>
          <w:sz w:val="28"/>
        </w:rPr>
        <w:t xml:space="preserve">ичии), реквизиты документов, удостоверяющих личность, почтовый адрес места жительства индивидуального предпринимателя; полное и сокращенное наименование, основной государственный регистрационный номер юридического лица, место нахождения юридического лица);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б) сведения о лицах, участвовавших в проведении технологического и ценового аудита обоснования инвестиций, и лице, утвердившем заключение (фамилия, имя, отчество (при наличии), занимаемая должность);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в) реквизиты договора о проведении технологического и ценового аудита обоснования инвестиций;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2) «Идентификационные сведения об объекте капитального строительства», в которые включаются: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а) наименование объекта капитального строительства, почтовый (строительный) адрес объекта капитального строительства;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б) основные технико-экономические показатели объекта капитального строительства (в том числе площадь, объем, протяженность, количество этажей, производственная мощность);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в) сведения о предполагаемой (предельной) стоимости строительства объекта капитального строительства;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3) «Идентификационные сведения о застройщике (техническом заказчике)», в который включаются: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а) идентификационные сведения о застройщике (фамилия, имя, отчество (при наличии), реквизиты документов, удостоверяющих личность, почтовый адрес места жительства индивидуального предпринимателя; полное наименование, место нахождения юридического лица);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б) иде</w:t>
      </w:r>
      <w:r>
        <w:rPr>
          <w:rFonts w:ascii="Times New Roman" w:hAnsi="Times New Roman" w:eastAsia="Times New Roman" w:cs="Times New Roman"/>
          <w:sz w:val="28"/>
        </w:rPr>
        <w:t xml:space="preserve">нтификационные сведения о техническом заказчике (фамилия, имя, отчество (при наличии), реквизиты документов, удостоверяющих личность, почтовый адрес места жительства индивидуального предпринимателя; полное наименование, место нахождения юридического лица);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в) идентификационные сведения о лице, обратившемся с заявлением о проведении технологического и ценового аудита обоснования инвестиций - заявителе (фамилия, имя, </w:t>
      </w:r>
      <w:r>
        <w:rPr>
          <w:rFonts w:ascii="Times New Roman" w:hAnsi="Times New Roman" w:eastAsia="Times New Roman" w:cs="Times New Roman"/>
          <w:sz w:val="28"/>
        </w:rPr>
        <w:t xml:space="preserve">отчество (при наличии), реквизиты документов, удостоверяющих личность, почтовый адрес места жительства физического лица, полное наименование, место нахождения юридического лица), – в случае, если заявитель не является застройщиком (техническим заказчиком).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4) «Сведения о результате технологического и ценового аудита обоснования инвестиций», в который включаются: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а) сведения о результате технологического и ценового аудита обоснования инвестиций (положительное или отрицательное заключение);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б) информация об оспаривании выводов, содержащихся в заключении технологического и ценового аудита обоснования инвестиций (наименование и реквизиты акта, на основании которого выданное заключение не подлежит применению).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5) «Дата выдачи и реквизиты заключения», в который включаются дата выдачи и регистрационный номер заключения технологического и ценового аудита обоснования инвестиций в Реестре.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6) «Дополнительные сведения», в который включаются: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а) дата получения от заявителя, документов, представленных для проведения технологического и ценового аудита обоснования инвестиций;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б) дата представления заявителем документов, подтверждающих внесение платы за проведение технологического и ценового аудита обоснования инвестиций в соответствии с договором;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в)</w:t>
      </w:r>
      <w: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дата направления (вручения) заявителю заключения технологического и ценового аудита обоснования инвестиций.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5. Сведения о заключении технологического и ценового аудита обоснования инвестиций вносятся в Реестр Учреждением в течение трех рабочих дней со дня направления (вручения) заявителю заключения.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Удаление или редактирование внесенных в Реестр сведений не допускается, за исключением редактирования записей в случае обнаружения в них технических ошибок.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6. Сведения, содержащиеся в Реестре, являются открытыми для ознакомления с ними заинтересованных лиц, за исключением случаев, предусмотренных федеральными законами.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7. Сведения из Реестра в объеме, указанном в </w:t>
      </w:r>
      <w:hyperlink r:id="rId12" w:tooltip="kodeks://link/d?nd=456079023&amp;mark=000000000000000000000000000000000000000000000000007DK0K9" w:history="1">
        <w:r>
          <w:rPr>
            <w:rFonts w:ascii="Times New Roman" w:hAnsi="Times New Roman" w:eastAsia="Times New Roman" w:cs="Times New Roman"/>
            <w:sz w:val="28"/>
          </w:rPr>
          <w:t xml:space="preserve">пункте 9 настоящего Порядка</w:t>
        </w:r>
      </w:hyperlink>
      <w:r>
        <w:rPr>
          <w:rFonts w:ascii="Times New Roman" w:hAnsi="Times New Roman" w:eastAsia="Times New Roman" w:cs="Times New Roman"/>
          <w:sz w:val="28"/>
        </w:rPr>
        <w:t xml:space="preserve">, размещаются на официальном сайте Учреждения в информационно-телекоммуникационной </w:t>
      </w:r>
      <w:r>
        <w:rPr>
          <w:rFonts w:ascii="Times New Roman" w:hAnsi="Times New Roman" w:eastAsia="Times New Roman" w:cs="Times New Roman"/>
          <w:sz w:val="28"/>
        </w:rPr>
        <w:t xml:space="preserve">сети «Интернет», а также предоставляются физическим и юридическим лицам, органам государственной власти и органам местного самоуправления (далее - заинтересованное лицо) без взимания платы в течение 10 дней со дня получения Учреждением письменного запроса.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8. Запрос направляется в Учреждение в форме эл</w:t>
      </w:r>
      <w:r>
        <w:rPr>
          <w:rFonts w:ascii="Times New Roman" w:hAnsi="Times New Roman" w:eastAsia="Times New Roman" w:cs="Times New Roman"/>
          <w:sz w:val="28"/>
        </w:rPr>
        <w:t xml:space="preserve">ектронного документа (за исключением случаев, установленных настоящим пунктом) и должен содержать идентификационные сведения о заинтересованном лице (фамилия, имя, отчество (при наличии), реквизиты документов, удостоверяющих личность, почтовый адрес физиче</w:t>
      </w:r>
      <w:r>
        <w:rPr>
          <w:rFonts w:ascii="Times New Roman" w:hAnsi="Times New Roman" w:eastAsia="Times New Roman" w:cs="Times New Roman"/>
          <w:sz w:val="28"/>
        </w:rPr>
        <w:t xml:space="preserve">ского лица, полное наименование, место нахождения юридического лица), а также предусматривать представление информации в отношении конкретного объекта, строительство, реконструкция, капитальный ремонт которого осуществляются или завершены (приостановлены).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 наличии в запросе сведений, доступ к которым ограничен в соответствии с законодательством Российской Федерации, запрос направляется на бумажном носителе.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Запрос, направленный в форме электронного документа подписывается с использованием усиленной квалифицированной электронной подписи заявителя.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Запрос направляется в отношении одного заключения технологического и ценового аудита обоснования инвестиций.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9. Информация представляется в виде выписки из Реестра в форме электронного документа (при невозможности направления выписки в форме электронного документа - на бумажном носителе).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Выписка из Реестра должна содержать дату выдачи, уникальный порядковый номер выписки, а также сведения, предусмотренные </w:t>
      </w:r>
      <w:hyperlink r:id="rId13" w:tooltip="kodeks://link/d?nd=456079023&amp;mark=000000000000000000000000000000000000000000000000007D60K4" w:history="1">
        <w:r>
          <w:rPr>
            <w:rFonts w:ascii="Times New Roman" w:hAnsi="Times New Roman" w:eastAsia="Times New Roman" w:cs="Times New Roman"/>
            <w:sz w:val="28"/>
          </w:rPr>
          <w:t xml:space="preserve">абзацем «а» подпункта 1</w:t>
        </w:r>
      </w:hyperlink>
      <w:r>
        <w:rPr>
          <w:rFonts w:ascii="Times New Roman" w:hAnsi="Times New Roman" w:eastAsia="Times New Roman" w:cs="Times New Roman"/>
          <w:sz w:val="28"/>
        </w:rPr>
        <w:t xml:space="preserve">, </w:t>
      </w:r>
      <w:hyperlink r:id="rId14" w:tooltip="kodeks://link/d?nd=456079023&amp;mark=000000000000000000000000000000000000000000000000007DE0K8" w:history="1">
        <w:r>
          <w:rPr>
            <w:rFonts w:ascii="Times New Roman" w:hAnsi="Times New Roman" w:eastAsia="Times New Roman" w:cs="Times New Roman"/>
            <w:sz w:val="28"/>
          </w:rPr>
          <w:t xml:space="preserve">абзацами «а</w:t>
        </w:r>
      </w:hyperlink>
      <w:r>
        <w:rPr>
          <w:rFonts w:ascii="Times New Roman" w:hAnsi="Times New Roman" w:eastAsia="Times New Roman" w:cs="Times New Roman"/>
          <w:sz w:val="28"/>
        </w:rPr>
        <w:t xml:space="preserve">» и «</w:t>
      </w:r>
      <w:hyperlink r:id="rId15" w:tooltip="kodeks://link/d?nd=456079023&amp;mark=000000000000000000000000000000000000000000000000007DG0K9" w:history="1">
        <w:r>
          <w:rPr>
            <w:rFonts w:ascii="Times New Roman" w:hAnsi="Times New Roman" w:eastAsia="Times New Roman" w:cs="Times New Roman"/>
            <w:sz w:val="28"/>
          </w:rPr>
          <w:t xml:space="preserve">б» подпункта 2</w:t>
        </w:r>
      </w:hyperlink>
      <w:r>
        <w:rPr>
          <w:rFonts w:ascii="Times New Roman" w:hAnsi="Times New Roman" w:eastAsia="Times New Roman" w:cs="Times New Roman"/>
          <w:sz w:val="28"/>
        </w:rPr>
        <w:t xml:space="preserve">, </w:t>
      </w:r>
      <w:hyperlink r:id="rId16" w:tooltip="kodeks://link/d?nd=456079023&amp;mark=000000000000000000000000000000000000000000000000007DM0KC" w:history="1">
        <w:r>
          <w:rPr>
            <w:rFonts w:ascii="Times New Roman" w:hAnsi="Times New Roman" w:eastAsia="Times New Roman" w:cs="Times New Roman"/>
            <w:sz w:val="28"/>
          </w:rPr>
          <w:t xml:space="preserve">абзацами «а</w:t>
        </w:r>
      </w:hyperlink>
      <w:r>
        <w:rPr>
          <w:rFonts w:ascii="Times New Roman" w:hAnsi="Times New Roman" w:eastAsia="Times New Roman" w:cs="Times New Roman"/>
          <w:sz w:val="28"/>
        </w:rPr>
        <w:t xml:space="preserve">» и «</w:t>
      </w:r>
      <w:hyperlink r:id="rId17" w:tooltip="kodeks://link/d?nd=456079023&amp;mark=000000000000000000000000000000000000000000000000007DO0KD" w:history="1">
        <w:r>
          <w:rPr>
            <w:rFonts w:ascii="Times New Roman" w:hAnsi="Times New Roman" w:eastAsia="Times New Roman" w:cs="Times New Roman"/>
            <w:sz w:val="28"/>
          </w:rPr>
          <w:t xml:space="preserve">б» подпункта 3</w:t>
        </w:r>
      </w:hyperlink>
      <w:r>
        <w:rPr>
          <w:rFonts w:ascii="Times New Roman" w:hAnsi="Times New Roman" w:eastAsia="Times New Roman" w:cs="Times New Roman"/>
          <w:sz w:val="28"/>
        </w:rPr>
        <w:t xml:space="preserve">, под</w:t>
      </w:r>
      <w:hyperlink r:id="rId18" w:tooltip="kodeks://link/d?nd=456079023&amp;mark=000000000000000000000000000000000000000000000000007DC0K6" w:history="1">
        <w:r>
          <w:rPr>
            <w:rFonts w:ascii="Times New Roman" w:hAnsi="Times New Roman" w:eastAsia="Times New Roman" w:cs="Times New Roman"/>
            <w:sz w:val="28"/>
          </w:rPr>
          <w:t xml:space="preserve">п</w:t>
        </w:r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унктами 4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и 5</w:t>
      </w:r>
      <w:r>
        <w:t xml:space="preserve"> </w:t>
      </w:r>
      <w:hyperlink r:id="rId19" w:tooltip="kodeks://link/d?nd=456079023&amp;mark=000000000000000000000000000000000000000000000000007DI0K9" w:history="1">
        <w:r>
          <w:rPr>
            <w:rFonts w:ascii="Times New Roman" w:hAnsi="Times New Roman" w:eastAsia="Times New Roman" w:cs="Times New Roman"/>
            <w:sz w:val="28"/>
          </w:rPr>
          <w:t xml:space="preserve">пункта 4 настоящего Порядка</w:t>
        </w:r>
      </w:hyperlink>
      <w:r>
        <w:rPr>
          <w:rFonts w:ascii="Times New Roman" w:hAnsi="Times New Roman" w:eastAsia="Times New Roman" w:cs="Times New Roman"/>
          <w:sz w:val="28"/>
        </w:rPr>
        <w:t xml:space="preserve">, за исключением ин</w:t>
      </w:r>
      <w:r>
        <w:rPr>
          <w:rFonts w:ascii="Times New Roman" w:hAnsi="Times New Roman" w:eastAsia="Times New Roman" w:cs="Times New Roman"/>
          <w:sz w:val="28"/>
        </w:rPr>
        <w:t xml:space="preserve">формации о реквизитах документов, удостоверяющих личность физического лица. Выписка из Реестра подписывается уполномоченным должностным лицом Учреждения. Выписка из Реестра в электронной форме подписывается усиленной квалифицированной электронной подписью.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10. В случае отсутствия запрашиваемых сведений или невозможности их представления об этом сообщается заинтересованному лицу в письменной форме в течение 10 дней со дня регистрации запроса.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11. В случае получения письменного запроса, не соответствующего установленным </w:t>
      </w:r>
      <w:hyperlink r:id="rId20" w:tooltip="kodeks://link/d?nd=456079023&amp;mark=000000000000000000000000000000000000000000000000007DI0K8" w:history="1">
        <w:r>
          <w:rPr>
            <w:rFonts w:ascii="Times New Roman" w:hAnsi="Times New Roman" w:eastAsia="Times New Roman" w:cs="Times New Roman"/>
            <w:sz w:val="28"/>
          </w:rPr>
          <w:t xml:space="preserve">пунктом 8 настоящего Порядка</w:t>
        </w:r>
      </w:hyperlink>
      <w:r>
        <w:rPr>
          <w:rFonts w:ascii="Times New Roman" w:hAnsi="Times New Roman" w:eastAsia="Times New Roman" w:cs="Times New Roman"/>
          <w:sz w:val="28"/>
        </w:rPr>
        <w:t xml:space="preserve"> требованиям, Учреждение в течение 10 рабочих дней направляет заинтересованному лицу письменный отказ в предоставлении сведений с объяснением причин отказа.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12. Документы, направляемые по результатам рассмотрения запроса, подписываются усиленной квалифицированной электронной подписью уполномоченного лица Учреждения.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13. Учреждением при ведении Реестра должны быть обеспечены: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своевременное внесение сведений в Реестр;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своевременное представление заинтересованным лицам по их запросам выписок из Реестра;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размещение сведений Реестра в объеме сведений, указанных в </w:t>
      </w:r>
      <w:hyperlink r:id="rId21" w:tooltip="kodeks://link/d?nd=456079023&amp;mark=000000000000000000000000000000000000000000000000007DK0K9" w:history="1">
        <w:r>
          <w:rPr>
            <w:rFonts w:ascii="Times New Roman" w:hAnsi="Times New Roman" w:eastAsia="Times New Roman" w:cs="Times New Roman"/>
            <w:sz w:val="28"/>
          </w:rPr>
          <w:t xml:space="preserve">пункте 9 настоящего Порядка</w:t>
        </w:r>
      </w:hyperlink>
      <w:r>
        <w:rPr>
          <w:rFonts w:ascii="Times New Roman" w:hAnsi="Times New Roman" w:eastAsia="Times New Roman" w:cs="Times New Roman"/>
          <w:sz w:val="28"/>
        </w:rPr>
        <w:t xml:space="preserve">, на официальном сайте Учреждения в информационно-телекоммуникационной сети «Интернет»;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425"/>
        <w:jc w:val="both"/>
        <w:spacing w:before="0" w:after="0" w:afterAutospacing="0" w:line="566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сохранность, достоверность, целостность, доступность информации, содержащейся в Реестре, а также защита указанной информации от несанкционированного доступа.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7"/>
        <w:ind w:left="0" w:firstLine="0"/>
        <w:jc w:val="both"/>
        <w:spacing w:before="0" w:after="160" w:line="566" w:lineRule="atLeast"/>
        <w:rPr>
          <w:rFonts w:ascii="Tinos" w:hAnsi="Tinos" w:eastAsia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continuous"/>
      <w:pgSz w:w="11906" w:h="16838" w:orient="portrait"/>
      <w:pgMar w:top="1134" w:right="567" w:bottom="1134" w:left="1417" w:header="340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00603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/>
    <w:r/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/>
    <w:r/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7"/>
    <w:link w:val="719"/>
    <w:uiPriority w:val="10"/>
    <w:rPr>
      <w:sz w:val="48"/>
      <w:szCs w:val="48"/>
    </w:rPr>
  </w:style>
  <w:style w:type="character" w:styleId="692">
    <w:name w:val="Subtitle Char"/>
    <w:basedOn w:val="707"/>
    <w:link w:val="721"/>
    <w:uiPriority w:val="11"/>
    <w:rPr>
      <w:sz w:val="24"/>
      <w:szCs w:val="24"/>
    </w:rPr>
  </w:style>
  <w:style w:type="character" w:styleId="693">
    <w:name w:val="Quote Char"/>
    <w:link w:val="723"/>
    <w:uiPriority w:val="29"/>
    <w:rPr>
      <w:i/>
    </w:rPr>
  </w:style>
  <w:style w:type="character" w:styleId="694">
    <w:name w:val="Intense Quote Char"/>
    <w:link w:val="725"/>
    <w:uiPriority w:val="30"/>
    <w:rPr>
      <w:i/>
    </w:rPr>
  </w:style>
  <w:style w:type="character" w:styleId="695">
    <w:name w:val="Footnote Text Char"/>
    <w:link w:val="856"/>
    <w:uiPriority w:val="99"/>
    <w:rPr>
      <w:sz w:val="18"/>
    </w:rPr>
  </w:style>
  <w:style w:type="character" w:styleId="696">
    <w:name w:val="Endnote Text Char"/>
    <w:link w:val="859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697"/>
    <w:next w:val="697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Заголовок Знак"/>
    <w:basedOn w:val="707"/>
    <w:link w:val="719"/>
    <w:uiPriority w:val="10"/>
    <w:rPr>
      <w:sz w:val="48"/>
      <w:szCs w:val="48"/>
    </w:rPr>
  </w:style>
  <w:style w:type="paragraph" w:styleId="721">
    <w:name w:val="Subtitle"/>
    <w:basedOn w:val="697"/>
    <w:next w:val="697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basedOn w:val="707"/>
    <w:link w:val="721"/>
    <w:uiPriority w:val="11"/>
    <w:rPr>
      <w:sz w:val="24"/>
      <w:szCs w:val="24"/>
    </w:rPr>
  </w:style>
  <w:style w:type="paragraph" w:styleId="723">
    <w:name w:val="Quote"/>
    <w:basedOn w:val="697"/>
    <w:next w:val="697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7"/>
    <w:next w:val="697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7"/>
    <w:uiPriority w:val="99"/>
  </w:style>
  <w:style w:type="character" w:styleId="728" w:customStyle="1">
    <w:name w:val="Footer Char"/>
    <w:basedOn w:val="707"/>
    <w:uiPriority w:val="99"/>
  </w:style>
  <w:style w:type="paragraph" w:styleId="729">
    <w:name w:val="Caption"/>
    <w:basedOn w:val="697"/>
    <w:next w:val="69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 w:customStyle="1">
    <w:name w:val="Table Grid Light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6">
    <w:name w:val="footnote text"/>
    <w:basedOn w:val="697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7"/>
    <w:uiPriority w:val="99"/>
    <w:unhideWhenUsed/>
    <w:rPr>
      <w:vertAlign w:val="superscript"/>
    </w:rPr>
  </w:style>
  <w:style w:type="paragraph" w:styleId="859">
    <w:name w:val="endnote text"/>
    <w:basedOn w:val="697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7"/>
    <w:uiPriority w:val="99"/>
    <w:semiHidden/>
    <w:unhideWhenUsed/>
    <w:rPr>
      <w:vertAlign w:val="superscript"/>
    </w:rPr>
  </w:style>
  <w:style w:type="paragraph" w:styleId="862">
    <w:name w:val="toc 1"/>
    <w:basedOn w:val="697"/>
    <w:next w:val="697"/>
    <w:uiPriority w:val="39"/>
    <w:unhideWhenUsed/>
    <w:pPr>
      <w:spacing w:after="57"/>
    </w:pPr>
  </w:style>
  <w:style w:type="paragraph" w:styleId="863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4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5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66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67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68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69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0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7"/>
    <w:next w:val="697"/>
    <w:uiPriority w:val="99"/>
    <w:unhideWhenUsed/>
    <w:pPr>
      <w:spacing w:after="0"/>
    </w:pPr>
  </w:style>
  <w:style w:type="paragraph" w:styleId="873">
    <w:name w:val="Balloon Text"/>
    <w:basedOn w:val="697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707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76">
    <w:name w:val="Hyperlink"/>
    <w:basedOn w:val="707"/>
    <w:uiPriority w:val="99"/>
    <w:unhideWhenUsed/>
    <w:rPr>
      <w:color w:val="0000ff" w:themeColor="hyperlink"/>
      <w:u w:val="single"/>
    </w:rPr>
  </w:style>
  <w:style w:type="character" w:styleId="877" w:customStyle="1">
    <w:name w:val="Font Style15"/>
    <w:basedOn w:val="707"/>
    <w:uiPriority w:val="99"/>
    <w:rPr>
      <w:rFonts w:ascii="Times New Roman" w:hAnsi="Times New Roman" w:cs="Times New Roman"/>
      <w:sz w:val="24"/>
      <w:szCs w:val="24"/>
    </w:rPr>
  </w:style>
  <w:style w:type="paragraph" w:styleId="878">
    <w:name w:val="List Paragraph"/>
    <w:basedOn w:val="697"/>
    <w:uiPriority w:val="34"/>
    <w:qFormat/>
    <w:pPr>
      <w:contextualSpacing/>
      <w:ind w:left="720"/>
    </w:pPr>
  </w:style>
  <w:style w:type="paragraph" w:styleId="879">
    <w:name w:val="Header"/>
    <w:basedOn w:val="697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707"/>
    <w:link w:val="879"/>
    <w:uiPriority w:val="99"/>
  </w:style>
  <w:style w:type="paragraph" w:styleId="881">
    <w:name w:val="Footer"/>
    <w:basedOn w:val="697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707"/>
    <w:link w:val="881"/>
    <w:uiPriority w:val="99"/>
  </w:style>
  <w:style w:type="paragraph" w:styleId="883" w:customStyle="1">
    <w:name w:val="ConsPlusTitle"/>
    <w:uiPriority w:val="99"/>
    <w:pPr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character" w:styleId="884">
    <w:name w:val="annotation reference"/>
    <w:basedOn w:val="707"/>
    <w:uiPriority w:val="99"/>
    <w:semiHidden/>
    <w:unhideWhenUsed/>
    <w:rPr>
      <w:sz w:val="16"/>
      <w:szCs w:val="16"/>
    </w:rPr>
  </w:style>
  <w:style w:type="paragraph" w:styleId="885">
    <w:name w:val="annotation text"/>
    <w:basedOn w:val="697"/>
    <w:link w:val="88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6" w:customStyle="1">
    <w:name w:val="Текст примечания Знак"/>
    <w:basedOn w:val="707"/>
    <w:link w:val="885"/>
    <w:uiPriority w:val="99"/>
    <w:semiHidden/>
    <w:rPr>
      <w:sz w:val="20"/>
      <w:szCs w:val="20"/>
    </w:rPr>
  </w:style>
  <w:style w:type="paragraph" w:styleId="887">
    <w:name w:val="annotation subject"/>
    <w:basedOn w:val="885"/>
    <w:next w:val="885"/>
    <w:link w:val="888"/>
    <w:uiPriority w:val="99"/>
    <w:semiHidden/>
    <w:unhideWhenUsed/>
    <w:rPr>
      <w:b/>
      <w:bCs/>
    </w:rPr>
  </w:style>
  <w:style w:type="character" w:styleId="888" w:customStyle="1">
    <w:name w:val="Тема примечания Знак"/>
    <w:basedOn w:val="886"/>
    <w:link w:val="887"/>
    <w:uiPriority w:val="99"/>
    <w:semiHidden/>
    <w:rPr>
      <w:b/>
      <w:bCs/>
      <w:sz w:val="20"/>
      <w:szCs w:val="20"/>
    </w:rPr>
  </w:style>
  <w:style w:type="paragraph" w:styleId="889">
    <w:name w:val="Body Text Indent"/>
    <w:basedOn w:val="697"/>
    <w:link w:val="890"/>
    <w:pPr>
      <w:ind w:left="283"/>
      <w:spacing w:after="12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890" w:customStyle="1">
    <w:name w:val="Основной текст с отступом Знак"/>
    <w:basedOn w:val="707"/>
    <w:link w:val="889"/>
    <w:rPr>
      <w:rFonts w:ascii="Times New Roman" w:hAnsi="Times New Roman" w:eastAsia="Times New Roman" w:cs="Times New Roman"/>
      <w:sz w:val="28"/>
      <w:szCs w:val="28"/>
    </w:rPr>
  </w:style>
  <w:style w:type="table" w:styleId="891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93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9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kodeks://link/d?nd=456079023&amp;mark=000000000000000000000000000000000000000000000000007DK0K9" TargetMode="External"/><Relationship Id="rId13" Type="http://schemas.openxmlformats.org/officeDocument/2006/relationships/hyperlink" Target="kodeks://link/d?nd=456079023&amp;mark=000000000000000000000000000000000000000000000000007D60K4" TargetMode="External"/><Relationship Id="rId14" Type="http://schemas.openxmlformats.org/officeDocument/2006/relationships/hyperlink" Target="kodeks://link/d?nd=456079023&amp;mark=000000000000000000000000000000000000000000000000007DE0K8" TargetMode="External"/><Relationship Id="rId15" Type="http://schemas.openxmlformats.org/officeDocument/2006/relationships/hyperlink" Target="kodeks://link/d?nd=456079023&amp;mark=000000000000000000000000000000000000000000000000007DG0K9" TargetMode="External"/><Relationship Id="rId16" Type="http://schemas.openxmlformats.org/officeDocument/2006/relationships/hyperlink" Target="kodeks://link/d?nd=456079023&amp;mark=000000000000000000000000000000000000000000000000007DM0KC" TargetMode="External"/><Relationship Id="rId17" Type="http://schemas.openxmlformats.org/officeDocument/2006/relationships/hyperlink" Target="kodeks://link/d?nd=456079023&amp;mark=000000000000000000000000000000000000000000000000007DO0KD" TargetMode="External"/><Relationship Id="rId18" Type="http://schemas.openxmlformats.org/officeDocument/2006/relationships/hyperlink" Target="kodeks://link/d?nd=456079023&amp;mark=000000000000000000000000000000000000000000000000007DC0K6" TargetMode="External"/><Relationship Id="rId19" Type="http://schemas.openxmlformats.org/officeDocument/2006/relationships/hyperlink" Target="kodeks://link/d?nd=456079023&amp;mark=000000000000000000000000000000000000000000000000007DI0K9" TargetMode="External"/><Relationship Id="rId20" Type="http://schemas.openxmlformats.org/officeDocument/2006/relationships/hyperlink" Target="kodeks://link/d?nd=456079023&amp;mark=000000000000000000000000000000000000000000000000007DI0K8" TargetMode="External"/><Relationship Id="rId21" Type="http://schemas.openxmlformats.org/officeDocument/2006/relationships/hyperlink" Target="kodeks://link/d?nd=456079023&amp;mark=000000000000000000000000000000000000000000000000007DK0K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revision>15</cp:revision>
  <dcterms:created xsi:type="dcterms:W3CDTF">2023-10-17T04:25:00Z</dcterms:created>
  <dcterms:modified xsi:type="dcterms:W3CDTF">2025-05-15T03:33:37Z</dcterms:modified>
</cp:coreProperties>
</file>