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21"/>
        <w:tblW w:w="0" w:type="auto"/>
        <w:tblLayout w:type="fixed"/>
        <w:tblLook w:val="04A0" w:firstRow="1" w:lastRow="0" w:firstColumn="1" w:lastColumn="0" w:noHBand="0" w:noVBand="1"/>
      </w:tblPr>
      <w:tblGrid>
        <w:gridCol w:w="5811"/>
        <w:gridCol w:w="4111"/>
      </w:tblGrid>
      <w:tr>
        <w:tblPrEx/>
        <w:trPr>
          <w:trHeight w:val="198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11" w:type="dxa"/>
            <w:textDirection w:val="lrTb"/>
            <w:noWrap w:val="false"/>
          </w:tcPr>
          <w:p>
            <w:pPr>
              <w:contextualSpacing/>
              <w:jc w:val="right"/>
              <w:spacing w:line="240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739"/>
              <w:contextualSpacing w:val="0"/>
              <w:jc w:val="center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УТВЕРЖДЕН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Правительства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contextualSpacing/>
              <w:jc w:val="center"/>
              <w:spacing w:line="240" w:lineRule="auto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  <w:t xml:space="preserve">от_____________№______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</w:tbl>
    <w:p>
      <w:pPr>
        <w:contextualSpacing w:val="0"/>
        <w:jc w:val="center"/>
        <w:spacing w:before="0" w:beforeAutospacing="0" w:line="240" w:lineRule="auto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contextualSpacing w:val="0"/>
        <w:jc w:val="center"/>
        <w:spacing w:before="0" w:beforeAutospacing="0" w:line="240" w:lineRule="auto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 xml:space="preserve">ПОРЯДОК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color w:val="auto"/>
          <w:sz w:val="28"/>
          <w:szCs w:val="28"/>
          <w:highlight w:val="cyan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 xml:space="preserve">взаимодей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 xml:space="preserve">ствия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 xml:space="preserve">между областными исполнительными органами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 xml:space="preserve">Новосибирской обла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 xml:space="preserve">сти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 xml:space="preserve"> и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 xml:space="preserve">органами местного самоуправления поселений, муниципальных округов, городских округов Новосибирской области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 xml:space="preserve">при осуществлении мониторинга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 xml:space="preserve"> разраб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 xml:space="preserve">отки и утвержде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 xml:space="preserve">ния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shd w:val="clear" w:color="auto" w:fill="ffffff"/>
        </w:rPr>
        <w:t xml:space="preserve">программ комплексного развития</w:t>
      </w:r>
      <w:r>
        <w:rPr>
          <w:rFonts w:ascii="Times New Roman" w:hAnsi="Times New Roman" w:cs="Times New Roman"/>
          <w:color w:val="auto"/>
          <w:sz w:val="28"/>
          <w:szCs w:val="28"/>
          <w:highlight w:val="cyan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cyan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contextualSpacing/>
        <w:jc w:val="center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1. Настоящий Порядок разработан в целях: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i w:val="0"/>
          <w:strike w:val="0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1) создан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ия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правового механизма межведомственного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 взаимодействия м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ежду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областными исполнительными органами Новосибирской области 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shd w:val="clear" w:color="auto" w:fill="ffffff"/>
        </w:rPr>
        <w:t xml:space="preserve">органами местного самоуправления поселений, муниципальных округов, городских округов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при осуществлени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и 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мониторинга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разработки и утвержде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программ комплексного 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азвития систем коммунальной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инфраструктуры поселений, муниципальных округов, городских округов Новосибирской области, программ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комплексного развития транспортной инфраструктуры поселений, муниципальных округов, городских округов Новосибирской области, программ комплексного развития социальной инфраструктуры поселений, муниципальных округов, городских округов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Новосиб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ирской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(да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лее –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программы комплексного развития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)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;</w:t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b w:val="0"/>
          <w:i w:val="0"/>
          <w:strike w:val="0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2) контроля за выполнением мероприятий, направленных на развитие коммунальной, транспортной и социал</w:t>
      </w:r>
      <w:r>
        <w:rPr>
          <w:rFonts w:ascii="Times New Roman" w:hAnsi="Times New Roman" w:eastAsia="Times New Roman" w:cs="Times New Roman"/>
          <w:b w:val="0"/>
          <w:bCs w:val="0"/>
          <w:color w:val="auto"/>
          <w:sz w:val="28"/>
          <w:szCs w:val="28"/>
          <w:highlight w:val="none"/>
          <w:lang w:eastAsia="en-US"/>
        </w:rPr>
        <w:t xml:space="preserve">ьной инфраструктур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поселений, муниципальных округов, городских округов Новосибирской области</w:t>
      </w:r>
      <w:r>
        <w:rPr>
          <w:rFonts w:ascii="Times New Roman" w:hAnsi="Times New Roman" w:cs="Times New Roman"/>
          <w:b w:val="0"/>
          <w:i w:val="0"/>
          <w:strike w:val="0"/>
          <w:color w:val="auto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b w:val="0"/>
          <w:i w:val="0"/>
          <w:strike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b w:val="0"/>
          <w:i w:val="0"/>
          <w:strike w:val="0"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b w:val="0"/>
          <w:bCs w:val="0"/>
          <w:i w:val="0"/>
          <w:strike w:val="0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2. Настоящий Порядок регулирует вопросы, связанные с организацией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межведомственного взаимодействия между областными исполнительными органами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Новосибирской области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и органами местного самоуправления поселений, муниципальных округов, городских округов Новосибирской области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, при осуществлении мониторинга разработки и утверждения программ комплексного развития.</w:t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trike w:val="0"/>
          <w:color w:val="auto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3. Органам местного самоуправления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поселений, муниципальных округов, городских округов Новосибирской области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при разработке и утверждении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программ комплексного р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азвития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необходимо руководствоваться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постановлениями Правительства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Российской Федерации от 14.06.2013 № 502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«Об утверждении требований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к программам комплексного развития систем коммунальной инфраструктуры поселений, муниципальных округов, городских округов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»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от 25.12.2015 № 1440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«Об утверждении требований к программам комплексного развития транспортной инфраструктуры поселений, муниципальных округов, городских округов»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от 01.10.2015 № 1050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«Об утверждении требований к программам комплексного развития социальной инфраструктуры поселений, муниципальных округов, городских округов».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4. Перечень индикаторов, необходимых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для осуществления мониторинга разработки и утверждения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п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рограмм комплексного развития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, формирует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ся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в течение 30 дней со дня утверждения настоящего Порядк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1)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министерством жилищно-коммунального хозяйства и энергетики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Новосибирской области – в отношении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п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рограмм комплексного развития систем коммунальной инфраструктуры поселения, муниципального округа, городского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округа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Новосибир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ской области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(далее – ПКРСКИ)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в соответс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твии с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Приказом Госстроя от 28.10.2013 № 397/ГС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«О порядке осуще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ствления мониторинга разработки и утверждения программ комплексного развития систем коммунальной инфраструктуры поселений, городских округов»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2) министерством транспорта и дорожного хозяйства Новосибирской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области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–</w:t>
      </w:r>
      <w:r>
        <w:rPr>
          <w:highlight w:val="none"/>
        </w:rPr>
        <w:t xml:space="preserve"> 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в отношении п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рограмм комплексного развития транспортной инфраструктуры поселения, муниципального округа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, городского округа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Новосибирской области (далее – ПКРТИ)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соответствии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риказом Минтранса России от 26.05.2016 № 131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«Об утверждении порядка осуществления мониторинга разработки и утверждения программ комплексного развития транспортной инфраструктуры поселений, городских округов»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14:ligatures w14:val="no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shd w:val="clear" w:color="auto" w:fill="ffffff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3) министерством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труда и социального развития Новосибирской области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–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в отношении п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рограмм комплексного развития социальной инфраструктуры поселения, муниципального округа, городского округа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Новосибирской области (далее –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ПКРСИ)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соответствии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Приказом Минэкономразвития России от 29.03.2016 № 181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«Об утверждении Порядка осуществления мониторинга разработки и утверждения программ комплексного развития социальной инфраструктуры поселений, городских округов»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;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  <w14:ligatures w14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4) министерством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образования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Новосибирской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области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–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в отношении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ПКРСИ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соответствии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Приказом Минэкономразвития России от 29.03.2016 № 181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«Об утверждении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Порядка осуществления мониторинга разработки и утверждения программ комплексного развития социальной инфраструктуры поселений, городских округов» в части объектов местного значения  поселения, муниципального округа, городского округа в области образования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;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5) министерством здравоохранения Новосибирской области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–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в отношении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ПКРСИ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соответствии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Приказом Минэкономразвития России от 29.03.2016 № 181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«Об утверждении Порядка осуществления мониторинга разработки и утверждения программ комплексного развития социальной инфраструктуры поселений, городских округов»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в части объектов местного значения  поселения, муниципального округа, городского округа в области здравоохранения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;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6) министерством физической культуры и спорта Новосибирской области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–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в отношении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ПКРСИ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соответствии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Приказом Минэкономразвития России от 29.03.2016 № 181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«Об утверждении Порядка осуществления мониторинга разработки и утверждения программ комплексного развития социальной инфраструктуры поселений, городских округов»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в части объектов местного значения  поселения, муниципального округа, городского округа в области физической культуры и массового спорта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;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7) министерством культуры Новосибирской области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–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в отношении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ПКРСИ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в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соответствии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Приказом Минэкономразвития России от 29.03.2016 № 181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«Об утверждении Порядка осуществления мониторинга разработки и утверждения программ комплексного развития социальной инфраструктуры поселений, городских округов»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в части объектов местного значения  поселения, муниципального округа, городского округа в области культуры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5. 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Органы местного само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управления поселений, муниципальных округов,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городских округов Новосибирской облас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ти 1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раз в полугодие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,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 в течение 7 дней по истечении отчетного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периода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,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 направл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яют </w:t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  <w:t xml:space="preserve">в областные исполнительные органы Новосибирской области, указанные в пункте 4 настоящего Порядка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:</w:t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1) информацию о состоянии разработки и утверждения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 программ комплексног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о развития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в табличной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фо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рме в соответствии с приложением к настоящему Порядку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;</w:t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2) копии решений уполномоченного органа (лица) о разработке программ комплексного развития;</w:t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3) копии решений уполномоченного органа (лица) об утверждении программ комплексного развития с приложением копий самих программ на бумажном носителе и (или) в электронном виде;</w:t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4) сведения о размещении программ комплексного развития в Федеральной государственной информационной системе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территориального планирования.</w:t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6. Министерство жилищно-коммунального хозяйства и энергетики Новосибирской области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в срок, не превышающий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30 дней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со дня получения от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органов местного самоуправления поселений, муниципальных округов,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городских округов Новосибирской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информации о сост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оянии разработки и утверж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дения ПКРСКИ и копий документов, указанных в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пункте 5 настоящего Порядка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осуществляет мониторинг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ПКРСКИ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в соответствии с порядком, утвержденным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Приказом Госстроя от 28.10.2013 № 397/ГС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, и направляет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в министерство строительства Новосибирской области (далее – Минстрой НСО)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отчет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 результатах осуществления мониторинга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в том числе предложения по корректировке ПКРСКИ, по форме в соответствии с приложением к настоящему Порядку.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7. Министерство транспорта и дорожного хозяйства Новосибирской области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в срок, не превышающий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30 дне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со дня по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shd w:val="clear" w:color="auto" w:fill="ffffff"/>
        </w:rPr>
        <w:t xml:space="preserve">лучения от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  <w:u w:val="none"/>
          <w:shd w:val="clear" w:color="auto" w:fill="ffffff"/>
        </w:rPr>
        <w:t xml:space="preserve">органов местного самоуправления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white"/>
          <w:u w:val="none"/>
          <w:shd w:val="clear" w:color="auto" w:fill="ffffff"/>
        </w:rPr>
        <w:t xml:space="preserve"> поселений, муниципальных о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кругов,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городских округов Новосибирской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информации о состоянии разработки и утвер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ждения ПКРТИ и копий документов, указанных в пункте 5 настоящего Порядка,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осуществляет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мониторинг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ПКРТКИ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в соответствии с порядком, утвержденным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риказом Минтранса России от 26.05.2016 № 131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и направляет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в Минстрой НСО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отчет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 результатах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осуществления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мониторинга, в том числе предложения по корректировке ПКРТИ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, по форме в соответствии с приложением к настоящему Порядку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8. 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Министерство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труда и социального развития Новосибирской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в срок, не превышающий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30 дне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 дня получения от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органов местного самоуправления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поселений, муниципальных округов,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городских округов Новосибирской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информации о состоянии разработки и утве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рждения ПКРСИ и копий документов, указанных в пункте 5 настоящего Порядка,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осуществляют мониторинг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ПКРСИ в соответствии с порядком, утвержденным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Приказом Минэкономразвития России от 29.03.2016 № 181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и направляют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в Минстрой НСО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отчет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 результатах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осуществления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мониторинга, в том числе предложения по корректировке ПКРСИ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, по форме в соответствии с приложением к настоящему Порядку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9. 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Министерство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образования Новосибирской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в срок, не превышающий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30 дне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 дня получения от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органов местного самоуправления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поселений, муниципальных округов,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городских округов Новосибирской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информации о состоянии разработки и утве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рждения ПКРСИ и копий документов, указанных в пункте 5 настоящего Порядка,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осуществляют мониторинг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ПКРСИ в соответствии с порядком, утвержденным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Приказом Минэкономразвития России от 29.03.2016 № 181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и направляют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в Минстрой НСО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отчет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 результатах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осуществления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мониторинга, в том числе предложения по корректировке ПКРСИ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, по форме в соответствии с приложением к настоящему Порядку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10. 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Министерство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здравоохранения Новосибирской области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в срок, не превышающий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30 дне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 дня получения от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органов местного самоуправления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поселений, муниципальных округов,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городских округов Новосибирской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информации о состоянии разработки и утве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рждения ПКРСИ и копий документов, указанных в пункте 5 настоящего Порядка,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осуществляют мониторинг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ПКРСИ в соответствии с порядком, утвержденным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Приказом Минэкономразвития России от 29.03.2016 № 181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и направляют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в Минстрой НСО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отчет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 результатах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осуществления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мониторинга, в том числе предложения по корректировке ПКРСИ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11. 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Министерство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труда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физической культуры и спорта Новосибирской области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в срок, не превышающий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30 дне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 дня получения от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органов местного самоуправления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поселений, муниципальных округов,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городских округов Новосибирской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информации о состоянии разработки и утве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рждения ПКРСИ и копий документов, указанных в пункте 5 настоящего Порядка,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осуществляют мониторинг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ПКРСИ в соответствии с порядком, утвержденным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Приказом Минэкономразвития России от 29.03.2016 № 181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и направляют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в Минстрой НСО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отчет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 результатах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осуществления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мониторинга, в том числе предложения по корректировке ПКРСИ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, по форме в соответствии с приложением к настоящему Порядку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12. 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Министерство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культуры Новосибирской обл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асти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в срок, не превышающий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30 дне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 дня получения от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органов местного самоуправления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поселений, муниципальных округов,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городских округов Новосибирской области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информации о состоянии разработки и утве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рждения ПКРСИ и копий документов, указанных в пункте 5 настоящего Порядка,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осуществляют мониторинг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ПКРСИ в соответствии с порядком, утвержденным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Приказом Минэкономразвития России от 29.03.2016 № 181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и направляют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в Минстрой НСО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отчет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 результатах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осуществления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мониторинга, в том числе предложения по корректировке ПКРСИ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, по форме в соответствии с приложением к настоящему Порядку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13. Минстрой НСО: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  <w14:ligatures w14:val="non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t xml:space="preserve">1)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в течение 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 дне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t xml:space="preserve">после истечения срока, указанного в пунктах 8 - 12 настоящего Порядка,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t xml:space="preserve">обобщает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t xml:space="preserve">информаци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ю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 результатах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осуществления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монитори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нга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ПКРСИ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, в том числе предложений по их корректировке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полученную от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t xml:space="preserve">областных исполнительных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t xml:space="preserve">органов Но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t xml:space="preserve">восибирской области, указанных в пунктах 8 -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t xml:space="preserve">12 настоящего Порядка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2) в те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чение 14 дней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t xml:space="preserve">после истечения срока, указанного в подпункте 1 настоящего пункта,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обобщает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информацию о результатах мониторинга разработки и утверждения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программ комплексного развития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 и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формирует итоговый отчет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по форме в соответствии с приложением к н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астоящему Порядку;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  <w14:ligatures w14:val="none"/>
        </w:rPr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</w:r>
      <w:bookmarkStart w:id="0" w:name="undefined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</w:r>
      <w:bookmarkEnd w:id="0"/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3)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в течение 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дней,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t xml:space="preserve">после истечения срока, указанного в подпункте 2 настоящего пункта,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убликует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итоговый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отчет о результатах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осуществления мониторинга разработки и утверждения про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гра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мм комплексного развития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, указанный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в подпункте 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настоящего пункта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а официальном сайте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Минстроя НСО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 в информационно-телекоммуникационной сети «Интернет» (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сс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ылка: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none"/>
          <w:shd w:val="clear" w:color="auto" w:fill="ffffff"/>
        </w:rPr>
      </w:r>
      <w:hyperlink r:id="rId13" w:tooltip="https://minstroy.nso.ru/page/9124" w:history="1">
        <w:r>
          <w:rPr>
            <w:rStyle w:val="929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u w:val="none"/>
            <w:shd w:val="clear" w:color="auto" w:fill="ffffff"/>
          </w:rPr>
          <w:t xml:space="preserve">https://minstroy.nso.ru/page/9124</w:t>
        </w:r>
        <w:r>
          <w:rPr>
            <w:rStyle w:val="929"/>
            <w:rFonts w:ascii="Times New Roman" w:hAnsi="Times New Roman" w:eastAsia="Times New Roman" w:cs="Times New Roman"/>
            <w:color w:val="auto"/>
            <w:sz w:val="28"/>
            <w:szCs w:val="28"/>
            <w:highlight w:val="none"/>
            <w:shd w:val="clear" w:color="auto" w:fill="ffffff"/>
          </w:rPr>
        </w:r>
      </w:hyperlink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);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4) 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в течение 7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дней,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14:ligatures w14:val="none"/>
        </w:rPr>
        <w:t xml:space="preserve">после истечения срока, указанного в подпункте 3 настоящего пункта,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аправляет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итоговый отчет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, указанный в подпункте 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настоящего пу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нкта,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в органы местного самоуправления поселений, муниципальных округов,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городс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ких ок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ругов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Новосибирской области,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у которых выявлены несоответствия программ комплексного развития требованиям действующего зак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онодательства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,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для анализа и принятия решений по устранению выявленных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несоответствий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  <w14:ligatures w14:val="none"/>
        </w:rPr>
        <w:t xml:space="preserve">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14.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 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Органы местного самоуправления 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shd w:val="clear" w:color="auto" w:fill="ffffff"/>
        </w:rPr>
        <w:t xml:space="preserve">поселений, муниципальных округов, городских округов Но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восибирск</w:t>
      </w:r>
      <w:r>
        <w:rPr>
          <w:rFonts w:ascii="Times New Roman" w:hAnsi="Times New Roman" w:eastAsia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</w:rPr>
        <w:t xml:space="preserve">ой области,</w:t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  <w:t xml:space="preserve"> в случае получения от Минстроя НСО итоговог</w:t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  <w:t xml:space="preserve">о отчета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, указанного в подпункте 2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 пу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нкта 13</w:t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  <w:t xml:space="preserve"> н</w:t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  <w:t xml:space="preserve">астоящего Порядка, указывающего на несоответствие программ комплексного развития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требованиям действующего законодательства</w:t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  <w:t xml:space="preserve">, </w:t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  <w:t xml:space="preserve">в т</w:t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  <w:t xml:space="preserve">ечение 30 д</w:t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  <w:t xml:space="preserve">ней</w:t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  <w:t xml:space="preserve"> со дня получения так</w:t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  <w:t xml:space="preserve">ого отчета</w:t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  <w:t xml:space="preserve"> </w:t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  <w:t xml:space="preserve">формируют и направляют на согласование в Минстрой НСО и </w:t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  <w:t xml:space="preserve">областные исполнительные органы Новосибирской области, указанные в пункте 4 настоящего Порядка</w:t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  <w:t xml:space="preserve">, дорожную карту о приведении программ комплексного развития в соответствие с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  <w:shd w:val="clear" w:color="auto" w:fill="ffffff"/>
        </w:rPr>
        <w:t xml:space="preserve">требованиями действующего законодательства</w:t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  <w:t xml:space="preserve">.</w:t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:u w:val="none"/>
          <w:shd w:val="clear" w:color="auto" w:fill="ffffff"/>
          <w14:ligatures w14:val="none"/>
        </w:rPr>
      </w:r>
    </w:p>
    <w:p>
      <w:pPr>
        <w:ind w:left="0" w:right="0" w:firstLine="709"/>
        <w:shd w:val="nil" w:color="000000"/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14:ligatures w14:val="none"/>
        </w:rPr>
      </w:r>
    </w:p>
    <w:p>
      <w:pPr>
        <w:ind w:left="0" w:right="0" w:firstLine="709"/>
        <w:shd w:val="nil" w:color="000000"/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14:ligatures w14:val="none"/>
        </w:rPr>
      </w:r>
    </w:p>
    <w:p>
      <w:pPr>
        <w:ind w:left="0" w:right="0" w:firstLine="709"/>
        <w:shd w:val="nil" w:color="000000"/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14:ligatures w14:val="none"/>
        </w:rPr>
      </w:r>
    </w:p>
    <w:p>
      <w:pPr>
        <w:jc w:val="center"/>
        <w:shd w:val="nil" w:color="auto"/>
        <w:rPr>
          <w:rFonts w:ascii="Times New Roman" w:hAnsi="Times New Roman" w:cs="Times New Roman"/>
          <w:strike/>
          <w:color w:val="auto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trike w:val="0"/>
          <w:color w:val="auto"/>
          <w:sz w:val="28"/>
          <w:szCs w:val="28"/>
          <w:highlight w:val="none"/>
          <w14:ligatures w14:val="none"/>
        </w:rPr>
        <w:t xml:space="preserve">_________</w:t>
      </w:r>
      <w:r>
        <w:rPr>
          <w:rFonts w:ascii="Times New Roman" w:hAnsi="Times New Roman" w:cs="Times New Roman"/>
          <w:strike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trike/>
          <w:color w:val="auto"/>
          <w:sz w:val="28"/>
          <w:szCs w:val="28"/>
          <w:highlight w:val="none"/>
          <w14:ligatures w14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7" w:h="16840" w:orient="portrait"/>
      <w:pgMar w:top="1134" w:right="567" w:bottom="1134" w:left="1417" w:header="567" w:footer="567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jc w:val="center"/>
    </w:pPr>
    <w:fldSimple w:instr="PAGE \* MERGEFORMAT">
      <w:r>
        <w:t xml:space="preserve">1</w:t>
      </w:r>
    </w:fldSimple>
    <w:r/>
    <w:r/>
  </w:p>
  <w:p>
    <w:pPr>
      <w:pStyle w:val="90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5"/>
      <w:jc w:val="center"/>
    </w:pPr>
    <w:r/>
    <w:r/>
  </w:p>
  <w:p>
    <w:pPr>
      <w:pStyle w:val="90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0">
    <w:name w:val="Title Char"/>
    <w:basedOn w:val="726"/>
    <w:link w:val="739"/>
    <w:uiPriority w:val="10"/>
    <w:rPr>
      <w:sz w:val="48"/>
      <w:szCs w:val="48"/>
    </w:rPr>
  </w:style>
  <w:style w:type="character" w:styleId="711">
    <w:name w:val="Subtitle Char"/>
    <w:basedOn w:val="726"/>
    <w:link w:val="741"/>
    <w:uiPriority w:val="11"/>
    <w:rPr>
      <w:sz w:val="24"/>
      <w:szCs w:val="24"/>
    </w:rPr>
  </w:style>
  <w:style w:type="character" w:styleId="712">
    <w:name w:val="Quote Char"/>
    <w:link w:val="743"/>
    <w:uiPriority w:val="29"/>
    <w:rPr>
      <w:i/>
    </w:rPr>
  </w:style>
  <w:style w:type="character" w:styleId="713">
    <w:name w:val="Intense Quote Char"/>
    <w:link w:val="745"/>
    <w:uiPriority w:val="30"/>
    <w:rPr>
      <w:i/>
    </w:rPr>
  </w:style>
  <w:style w:type="character" w:styleId="714">
    <w:name w:val="Footnote Text Char"/>
    <w:link w:val="876"/>
    <w:uiPriority w:val="99"/>
    <w:rPr>
      <w:sz w:val="18"/>
    </w:rPr>
  </w:style>
  <w:style w:type="character" w:styleId="715">
    <w:name w:val="Endnote Text Char"/>
    <w:link w:val="879"/>
    <w:uiPriority w:val="99"/>
    <w:rPr>
      <w:sz w:val="20"/>
    </w:rPr>
  </w:style>
  <w:style w:type="paragraph" w:styleId="716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17">
    <w:name w:val="Heading 1"/>
    <w:basedOn w:val="716"/>
    <w:next w:val="716"/>
    <w:link w:val="893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18">
    <w:name w:val="Heading 2"/>
    <w:basedOn w:val="716"/>
    <w:next w:val="716"/>
    <w:link w:val="894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19">
    <w:name w:val="Heading 3"/>
    <w:basedOn w:val="716"/>
    <w:next w:val="716"/>
    <w:link w:val="895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20">
    <w:name w:val="Heading 4"/>
    <w:basedOn w:val="716"/>
    <w:next w:val="716"/>
    <w:link w:val="896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21">
    <w:name w:val="Heading 5"/>
    <w:basedOn w:val="716"/>
    <w:next w:val="716"/>
    <w:link w:val="897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22">
    <w:name w:val="Heading 6"/>
    <w:basedOn w:val="716"/>
    <w:next w:val="716"/>
    <w:link w:val="898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23">
    <w:name w:val="Heading 7"/>
    <w:basedOn w:val="716"/>
    <w:next w:val="716"/>
    <w:link w:val="899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24">
    <w:name w:val="Heading 8"/>
    <w:basedOn w:val="716"/>
    <w:next w:val="716"/>
    <w:link w:val="900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25">
    <w:name w:val="Heading 9"/>
    <w:basedOn w:val="716"/>
    <w:next w:val="716"/>
    <w:link w:val="901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26" w:default="1">
    <w:name w:val="Default Paragraph Font"/>
    <w:uiPriority w:val="1"/>
    <w:semiHidden/>
    <w:unhideWhenUsed/>
  </w:style>
  <w:style w:type="table" w:styleId="72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8" w:default="1">
    <w:name w:val="No List"/>
    <w:uiPriority w:val="99"/>
    <w:semiHidden/>
    <w:unhideWhenUsed/>
  </w:style>
  <w:style w:type="character" w:styleId="729" w:customStyle="1">
    <w:name w:val="Heading 1 Char"/>
    <w:basedOn w:val="726"/>
    <w:uiPriority w:val="9"/>
    <w:rPr>
      <w:rFonts w:ascii="Arial" w:hAnsi="Arial" w:eastAsia="Arial" w:cs="Arial"/>
      <w:sz w:val="40"/>
      <w:szCs w:val="40"/>
    </w:rPr>
  </w:style>
  <w:style w:type="character" w:styleId="730" w:customStyle="1">
    <w:name w:val="Heading 2 Char"/>
    <w:basedOn w:val="726"/>
    <w:uiPriority w:val="9"/>
    <w:rPr>
      <w:rFonts w:ascii="Arial" w:hAnsi="Arial" w:eastAsia="Arial" w:cs="Arial"/>
      <w:sz w:val="34"/>
    </w:rPr>
  </w:style>
  <w:style w:type="character" w:styleId="731" w:customStyle="1">
    <w:name w:val="Heading 3 Char"/>
    <w:basedOn w:val="726"/>
    <w:uiPriority w:val="9"/>
    <w:rPr>
      <w:rFonts w:ascii="Arial" w:hAnsi="Arial" w:eastAsia="Arial" w:cs="Arial"/>
      <w:sz w:val="30"/>
      <w:szCs w:val="30"/>
    </w:rPr>
  </w:style>
  <w:style w:type="character" w:styleId="732" w:customStyle="1">
    <w:name w:val="Heading 4 Char"/>
    <w:basedOn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Heading 5 Char"/>
    <w:basedOn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Heading 6 Char"/>
    <w:basedOn w:val="726"/>
    <w:uiPriority w:val="9"/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Heading 7 Char"/>
    <w:basedOn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Heading 8 Char"/>
    <w:basedOn w:val="726"/>
    <w:uiPriority w:val="9"/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Heading 9 Char"/>
    <w:basedOn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No Spacing"/>
    <w:uiPriority w:val="1"/>
    <w:qFormat/>
    <w:pPr>
      <w:spacing w:after="0" w:line="240" w:lineRule="auto"/>
    </w:pPr>
  </w:style>
  <w:style w:type="paragraph" w:styleId="739">
    <w:name w:val="Title"/>
    <w:basedOn w:val="716"/>
    <w:next w:val="716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Название Знак"/>
    <w:basedOn w:val="726"/>
    <w:link w:val="739"/>
    <w:uiPriority w:val="10"/>
    <w:rPr>
      <w:sz w:val="48"/>
      <w:szCs w:val="48"/>
    </w:rPr>
  </w:style>
  <w:style w:type="paragraph" w:styleId="741">
    <w:name w:val="Subtitle"/>
    <w:basedOn w:val="716"/>
    <w:next w:val="716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basedOn w:val="726"/>
    <w:link w:val="741"/>
    <w:uiPriority w:val="11"/>
    <w:rPr>
      <w:sz w:val="24"/>
      <w:szCs w:val="24"/>
    </w:rPr>
  </w:style>
  <w:style w:type="paragraph" w:styleId="743">
    <w:name w:val="Quote"/>
    <w:basedOn w:val="716"/>
    <w:next w:val="716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16"/>
    <w:next w:val="716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character" w:styleId="747" w:customStyle="1">
    <w:name w:val="Header Char"/>
    <w:basedOn w:val="726"/>
    <w:uiPriority w:val="99"/>
  </w:style>
  <w:style w:type="character" w:styleId="748" w:customStyle="1">
    <w:name w:val="Footer Char"/>
    <w:basedOn w:val="726"/>
    <w:uiPriority w:val="99"/>
  </w:style>
  <w:style w:type="paragraph" w:styleId="749">
    <w:name w:val="Caption"/>
    <w:basedOn w:val="716"/>
    <w:next w:val="716"/>
    <w:link w:val="75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 w:customStyle="1">
    <w:name w:val="Caption Char"/>
    <w:uiPriority w:val="99"/>
  </w:style>
  <w:style w:type="table" w:styleId="751" w:customStyle="1">
    <w:name w:val="Table Grid Light"/>
    <w:basedOn w:val="72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52">
    <w:name w:val="Plain Table 1"/>
    <w:basedOn w:val="72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2"/>
    <w:basedOn w:val="72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5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7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9" w:customStyle="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0" w:customStyle="1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1" w:customStyle="1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2" w:customStyle="1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3" w:customStyle="1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4" w:customStyle="1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5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92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3" w:customStyle="1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4" w:customStyle="1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5" w:customStyle="1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6" w:customStyle="1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7" w:customStyle="1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8" w:customStyle="1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0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2" w:customStyle="1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3" w:customStyle="1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4" w:customStyle="1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5" w:customStyle="1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7" w:customStyle="1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8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ned - Accent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6" w:customStyle="1">
    <w:name w:val="Lined - Accent 1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7" w:customStyle="1">
    <w:name w:val="Lined - Accent 2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8" w:customStyle="1">
    <w:name w:val="Lined - Accent 3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9" w:customStyle="1">
    <w:name w:val="Lined - Accent 4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0" w:customStyle="1">
    <w:name w:val="Lined - Accent 5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1" w:customStyle="1">
    <w:name w:val="Lined - Accent 6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2" w:customStyle="1">
    <w:name w:val="Bordered &amp; Lined - Accent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3" w:customStyle="1">
    <w:name w:val="Bordered &amp; Lined - Accent 1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64" w:customStyle="1">
    <w:name w:val="Bordered &amp; Lined - Accent 2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65" w:customStyle="1">
    <w:name w:val="Bordered &amp; Lined - Accent 3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6" w:customStyle="1">
    <w:name w:val="Bordered &amp; Lined - Accent 4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7" w:customStyle="1">
    <w:name w:val="Bordered &amp; Lined - Accent 5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8" w:customStyle="1">
    <w:name w:val="Bordered &amp; Lined - Accent 6"/>
    <w:basedOn w:val="727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9" w:customStyle="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0" w:customStyle="1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1" w:customStyle="1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2" w:customStyle="1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3" w:customStyle="1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4" w:customStyle="1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5" w:customStyle="1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76">
    <w:name w:val="footnote text"/>
    <w:basedOn w:val="716"/>
    <w:link w:val="877"/>
    <w:uiPriority w:val="99"/>
    <w:semiHidden/>
    <w:unhideWhenUsed/>
    <w:pPr>
      <w:spacing w:after="40"/>
    </w:pPr>
    <w:rPr>
      <w:sz w:val="18"/>
    </w:rPr>
  </w:style>
  <w:style w:type="character" w:styleId="877" w:customStyle="1">
    <w:name w:val="Текст сноски Знак"/>
    <w:link w:val="876"/>
    <w:uiPriority w:val="99"/>
    <w:rPr>
      <w:sz w:val="18"/>
    </w:rPr>
  </w:style>
  <w:style w:type="character" w:styleId="878">
    <w:name w:val="footnote reference"/>
    <w:basedOn w:val="726"/>
    <w:uiPriority w:val="99"/>
    <w:unhideWhenUsed/>
    <w:rPr>
      <w:vertAlign w:val="superscript"/>
    </w:rPr>
  </w:style>
  <w:style w:type="paragraph" w:styleId="879">
    <w:name w:val="endnote text"/>
    <w:basedOn w:val="716"/>
    <w:link w:val="880"/>
    <w:uiPriority w:val="99"/>
    <w:semiHidden/>
    <w:unhideWhenUsed/>
  </w:style>
  <w:style w:type="character" w:styleId="880" w:customStyle="1">
    <w:name w:val="Текст концевой сноски Знак"/>
    <w:link w:val="879"/>
    <w:uiPriority w:val="99"/>
    <w:rPr>
      <w:sz w:val="20"/>
    </w:rPr>
  </w:style>
  <w:style w:type="character" w:styleId="881">
    <w:name w:val="endnote reference"/>
    <w:basedOn w:val="726"/>
    <w:uiPriority w:val="99"/>
    <w:semiHidden/>
    <w:unhideWhenUsed/>
    <w:rPr>
      <w:vertAlign w:val="superscript"/>
    </w:rPr>
  </w:style>
  <w:style w:type="paragraph" w:styleId="882">
    <w:name w:val="toc 1"/>
    <w:basedOn w:val="716"/>
    <w:next w:val="716"/>
    <w:uiPriority w:val="39"/>
    <w:unhideWhenUsed/>
    <w:pPr>
      <w:spacing w:after="57"/>
    </w:pPr>
  </w:style>
  <w:style w:type="paragraph" w:styleId="883">
    <w:name w:val="toc 2"/>
    <w:basedOn w:val="716"/>
    <w:next w:val="716"/>
    <w:uiPriority w:val="39"/>
    <w:unhideWhenUsed/>
    <w:pPr>
      <w:ind w:left="283"/>
      <w:spacing w:after="57"/>
    </w:pPr>
  </w:style>
  <w:style w:type="paragraph" w:styleId="884">
    <w:name w:val="toc 3"/>
    <w:basedOn w:val="716"/>
    <w:next w:val="716"/>
    <w:uiPriority w:val="39"/>
    <w:unhideWhenUsed/>
    <w:pPr>
      <w:ind w:left="567"/>
      <w:spacing w:after="57"/>
    </w:pPr>
  </w:style>
  <w:style w:type="paragraph" w:styleId="885">
    <w:name w:val="toc 4"/>
    <w:basedOn w:val="716"/>
    <w:next w:val="716"/>
    <w:uiPriority w:val="39"/>
    <w:unhideWhenUsed/>
    <w:pPr>
      <w:ind w:left="850"/>
      <w:spacing w:after="57"/>
    </w:pPr>
  </w:style>
  <w:style w:type="paragraph" w:styleId="886">
    <w:name w:val="toc 5"/>
    <w:basedOn w:val="716"/>
    <w:next w:val="716"/>
    <w:uiPriority w:val="39"/>
    <w:unhideWhenUsed/>
    <w:pPr>
      <w:ind w:left="1134"/>
      <w:spacing w:after="57"/>
    </w:pPr>
  </w:style>
  <w:style w:type="paragraph" w:styleId="887">
    <w:name w:val="toc 6"/>
    <w:basedOn w:val="716"/>
    <w:next w:val="716"/>
    <w:uiPriority w:val="39"/>
    <w:unhideWhenUsed/>
    <w:pPr>
      <w:ind w:left="1417"/>
      <w:spacing w:after="57"/>
    </w:pPr>
  </w:style>
  <w:style w:type="paragraph" w:styleId="888">
    <w:name w:val="toc 7"/>
    <w:basedOn w:val="716"/>
    <w:next w:val="716"/>
    <w:uiPriority w:val="39"/>
    <w:unhideWhenUsed/>
    <w:pPr>
      <w:ind w:left="1701"/>
      <w:spacing w:after="57"/>
    </w:pPr>
  </w:style>
  <w:style w:type="paragraph" w:styleId="889">
    <w:name w:val="toc 8"/>
    <w:basedOn w:val="716"/>
    <w:next w:val="716"/>
    <w:uiPriority w:val="39"/>
    <w:unhideWhenUsed/>
    <w:pPr>
      <w:ind w:left="1984"/>
      <w:spacing w:after="57"/>
    </w:pPr>
  </w:style>
  <w:style w:type="paragraph" w:styleId="890">
    <w:name w:val="toc 9"/>
    <w:basedOn w:val="716"/>
    <w:next w:val="716"/>
    <w:uiPriority w:val="39"/>
    <w:unhideWhenUsed/>
    <w:pPr>
      <w:ind w:left="2268"/>
      <w:spacing w:after="57"/>
    </w:pPr>
  </w:style>
  <w:style w:type="paragraph" w:styleId="891">
    <w:name w:val="TOC Heading"/>
    <w:uiPriority w:val="39"/>
    <w:unhideWhenUsed/>
  </w:style>
  <w:style w:type="paragraph" w:styleId="892">
    <w:name w:val="table of figures"/>
    <w:basedOn w:val="716"/>
    <w:next w:val="716"/>
    <w:uiPriority w:val="99"/>
    <w:unhideWhenUsed/>
  </w:style>
  <w:style w:type="character" w:styleId="893" w:customStyle="1">
    <w:name w:val="Заголовок 1 Знак"/>
    <w:basedOn w:val="726"/>
    <w:link w:val="717"/>
    <w:uiPriority w:val="99"/>
    <w:rPr>
      <w:rFonts w:ascii="Cambria" w:hAnsi="Cambria" w:cs="Times New Roman"/>
      <w:b/>
      <w:bCs/>
      <w:sz w:val="32"/>
      <w:szCs w:val="32"/>
    </w:rPr>
  </w:style>
  <w:style w:type="character" w:styleId="894" w:customStyle="1">
    <w:name w:val="Заголовок 2 Знак"/>
    <w:basedOn w:val="726"/>
    <w:link w:val="718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895" w:customStyle="1">
    <w:name w:val="Заголовок 3 Знак"/>
    <w:basedOn w:val="726"/>
    <w:link w:val="719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896" w:customStyle="1">
    <w:name w:val="Заголовок 4 Знак"/>
    <w:basedOn w:val="726"/>
    <w:link w:val="720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897" w:customStyle="1">
    <w:name w:val="Заголовок 5 Знак"/>
    <w:basedOn w:val="726"/>
    <w:link w:val="721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898" w:customStyle="1">
    <w:name w:val="Заголовок 6 Знак"/>
    <w:basedOn w:val="726"/>
    <w:link w:val="722"/>
    <w:uiPriority w:val="99"/>
    <w:semiHidden/>
    <w:rPr>
      <w:rFonts w:ascii="Calibri" w:hAnsi="Calibri" w:cs="Times New Roman"/>
      <w:b/>
      <w:bCs/>
    </w:rPr>
  </w:style>
  <w:style w:type="character" w:styleId="899" w:customStyle="1">
    <w:name w:val="Заголовок 7 Знак"/>
    <w:basedOn w:val="726"/>
    <w:link w:val="723"/>
    <w:uiPriority w:val="99"/>
    <w:semiHidden/>
    <w:rPr>
      <w:rFonts w:ascii="Calibri" w:hAnsi="Calibri" w:cs="Times New Roman"/>
      <w:sz w:val="24"/>
      <w:szCs w:val="24"/>
    </w:rPr>
  </w:style>
  <w:style w:type="character" w:styleId="900" w:customStyle="1">
    <w:name w:val="Заголовок 8 Знак"/>
    <w:basedOn w:val="726"/>
    <w:link w:val="724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901" w:customStyle="1">
    <w:name w:val="Заголовок 9 Знак"/>
    <w:basedOn w:val="726"/>
    <w:link w:val="725"/>
    <w:uiPriority w:val="99"/>
    <w:semiHidden/>
    <w:rPr>
      <w:rFonts w:ascii="Cambria" w:hAnsi="Cambria" w:cs="Times New Roman"/>
    </w:rPr>
  </w:style>
  <w:style w:type="paragraph" w:styleId="902" w:customStyle="1">
    <w:name w:val="заголовок 1"/>
    <w:basedOn w:val="716"/>
    <w:next w:val="716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903" w:customStyle="1">
    <w:name w:val="заголовок 2"/>
    <w:basedOn w:val="716"/>
    <w:next w:val="716"/>
    <w:uiPriority w:val="99"/>
    <w:pPr>
      <w:jc w:val="center"/>
      <w:keepNext/>
      <w:outlineLvl w:val="1"/>
    </w:pPr>
    <w:rPr>
      <w:sz w:val="28"/>
      <w:szCs w:val="28"/>
    </w:rPr>
  </w:style>
  <w:style w:type="character" w:styleId="904" w:customStyle="1">
    <w:name w:val="Основной шрифт"/>
    <w:uiPriority w:val="99"/>
  </w:style>
  <w:style w:type="paragraph" w:styleId="905">
    <w:name w:val="Header"/>
    <w:basedOn w:val="716"/>
    <w:link w:val="906"/>
    <w:uiPriority w:val="99"/>
    <w:pPr>
      <w:tabs>
        <w:tab w:val="center" w:pos="4153" w:leader="none"/>
        <w:tab w:val="right" w:pos="8306" w:leader="none"/>
      </w:tabs>
    </w:pPr>
  </w:style>
  <w:style w:type="character" w:styleId="906" w:customStyle="1">
    <w:name w:val="Верхний колонтитул Знак"/>
    <w:basedOn w:val="726"/>
    <w:link w:val="905"/>
    <w:uiPriority w:val="99"/>
    <w:rPr>
      <w:rFonts w:cs="Times New Roman"/>
      <w:sz w:val="20"/>
      <w:szCs w:val="20"/>
    </w:rPr>
  </w:style>
  <w:style w:type="character" w:styleId="907" w:customStyle="1">
    <w:name w:val="номер страницы"/>
    <w:basedOn w:val="904"/>
    <w:uiPriority w:val="99"/>
    <w:rPr>
      <w:rFonts w:cs="Times New Roman"/>
    </w:rPr>
  </w:style>
  <w:style w:type="paragraph" w:styleId="908">
    <w:name w:val="Body Text"/>
    <w:basedOn w:val="716"/>
    <w:link w:val="909"/>
    <w:uiPriority w:val="99"/>
    <w:pPr>
      <w:jc w:val="both"/>
    </w:pPr>
    <w:rPr>
      <w:sz w:val="28"/>
      <w:szCs w:val="28"/>
    </w:rPr>
  </w:style>
  <w:style w:type="character" w:styleId="909" w:customStyle="1">
    <w:name w:val="Основной текст Знак"/>
    <w:basedOn w:val="726"/>
    <w:link w:val="908"/>
    <w:uiPriority w:val="99"/>
    <w:semiHidden/>
    <w:rPr>
      <w:rFonts w:cs="Times New Roman"/>
      <w:sz w:val="20"/>
      <w:szCs w:val="20"/>
    </w:rPr>
  </w:style>
  <w:style w:type="paragraph" w:styleId="910">
    <w:name w:val="Body Text 2"/>
    <w:basedOn w:val="716"/>
    <w:link w:val="911"/>
    <w:uiPriority w:val="99"/>
    <w:pPr>
      <w:jc w:val="both"/>
    </w:pPr>
    <w:rPr>
      <w:sz w:val="28"/>
      <w:szCs w:val="28"/>
    </w:rPr>
  </w:style>
  <w:style w:type="character" w:styleId="911" w:customStyle="1">
    <w:name w:val="Основной текст 2 Знак"/>
    <w:basedOn w:val="726"/>
    <w:link w:val="910"/>
    <w:uiPriority w:val="99"/>
    <w:semiHidden/>
    <w:rPr>
      <w:rFonts w:cs="Times New Roman"/>
      <w:sz w:val="20"/>
      <w:szCs w:val="20"/>
    </w:rPr>
  </w:style>
  <w:style w:type="paragraph" w:styleId="912">
    <w:name w:val="Body Text Indent 2"/>
    <w:basedOn w:val="716"/>
    <w:link w:val="913"/>
    <w:uiPriority w:val="99"/>
    <w:pPr>
      <w:ind w:firstLine="709"/>
      <w:jc w:val="both"/>
    </w:pPr>
    <w:rPr>
      <w:sz w:val="28"/>
      <w:szCs w:val="28"/>
    </w:rPr>
  </w:style>
  <w:style w:type="character" w:styleId="913" w:customStyle="1">
    <w:name w:val="Основной текст с отступом 2 Знак"/>
    <w:basedOn w:val="726"/>
    <w:link w:val="912"/>
    <w:uiPriority w:val="99"/>
    <w:semiHidden/>
    <w:rPr>
      <w:rFonts w:cs="Times New Roman"/>
      <w:sz w:val="20"/>
      <w:szCs w:val="20"/>
    </w:rPr>
  </w:style>
  <w:style w:type="paragraph" w:styleId="914">
    <w:name w:val="Footer"/>
    <w:basedOn w:val="716"/>
    <w:link w:val="915"/>
    <w:uiPriority w:val="99"/>
    <w:pPr>
      <w:tabs>
        <w:tab w:val="center" w:pos="4153" w:leader="none"/>
        <w:tab w:val="right" w:pos="8306" w:leader="none"/>
      </w:tabs>
    </w:pPr>
  </w:style>
  <w:style w:type="character" w:styleId="915" w:customStyle="1">
    <w:name w:val="Нижний колонтитул Знак"/>
    <w:basedOn w:val="726"/>
    <w:link w:val="914"/>
    <w:uiPriority w:val="99"/>
    <w:rPr>
      <w:rFonts w:cs="Times New Roman"/>
      <w:sz w:val="20"/>
      <w:szCs w:val="20"/>
    </w:rPr>
  </w:style>
  <w:style w:type="paragraph" w:styleId="916">
    <w:name w:val="Body Text Indent 3"/>
    <w:basedOn w:val="716"/>
    <w:link w:val="917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917" w:customStyle="1">
    <w:name w:val="Основной текст с отступом 3 Знак"/>
    <w:basedOn w:val="726"/>
    <w:link w:val="916"/>
    <w:uiPriority w:val="99"/>
    <w:semiHidden/>
    <w:rPr>
      <w:rFonts w:cs="Times New Roman"/>
      <w:sz w:val="16"/>
      <w:szCs w:val="16"/>
    </w:rPr>
  </w:style>
  <w:style w:type="paragraph" w:styleId="918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919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920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921">
    <w:name w:val="Table Grid"/>
    <w:basedOn w:val="727"/>
    <w:uiPriority w:val="9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22">
    <w:name w:val="Body Text Indent"/>
    <w:basedOn w:val="716"/>
    <w:link w:val="923"/>
    <w:uiPriority w:val="99"/>
    <w:pPr>
      <w:ind w:left="283"/>
      <w:spacing w:after="120"/>
    </w:pPr>
  </w:style>
  <w:style w:type="character" w:styleId="923" w:customStyle="1">
    <w:name w:val="Основной текст с отступом Знак"/>
    <w:basedOn w:val="726"/>
    <w:link w:val="922"/>
    <w:uiPriority w:val="99"/>
    <w:semiHidden/>
    <w:rPr>
      <w:rFonts w:cs="Times New Roman"/>
      <w:sz w:val="20"/>
      <w:szCs w:val="20"/>
    </w:rPr>
  </w:style>
  <w:style w:type="paragraph" w:styleId="924">
    <w:name w:val="Balloon Text"/>
    <w:basedOn w:val="716"/>
    <w:link w:val="925"/>
    <w:uiPriority w:val="99"/>
    <w:semiHidden/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726"/>
    <w:link w:val="924"/>
    <w:uiPriority w:val="99"/>
    <w:semiHidden/>
    <w:rPr>
      <w:rFonts w:ascii="Tahoma" w:hAnsi="Tahoma" w:cs="Tahoma"/>
      <w:sz w:val="16"/>
      <w:szCs w:val="16"/>
    </w:rPr>
  </w:style>
  <w:style w:type="character" w:styleId="926">
    <w:name w:val="page number"/>
    <w:basedOn w:val="726"/>
    <w:uiPriority w:val="99"/>
    <w:rPr>
      <w:rFonts w:cs="Times New Roman"/>
    </w:rPr>
  </w:style>
  <w:style w:type="table" w:styleId="927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28" w:customStyle="1">
    <w:name w:val="ConsPlusNormal"/>
    <w:uiPriority w:val="99"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929">
    <w:name w:val="Hyperlink"/>
    <w:basedOn w:val="726"/>
    <w:uiPriority w:val="99"/>
    <w:semiHidden/>
    <w:unhideWhenUsed/>
    <w:rPr>
      <w:rFonts w:cs="Times New Roman"/>
      <w:color w:val="0000ff"/>
      <w:u w:val="single"/>
    </w:rPr>
  </w:style>
  <w:style w:type="paragraph" w:styleId="930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931">
    <w:name w:val="List Paragraph"/>
    <w:basedOn w:val="716"/>
    <w:uiPriority w:val="34"/>
    <w:qFormat/>
    <w:pPr>
      <w:contextualSpacing/>
      <w:ind w:left="720"/>
    </w:pPr>
  </w:style>
  <w:style w:type="character" w:styleId="932">
    <w:name w:val="annotation reference"/>
    <w:basedOn w:val="726"/>
    <w:uiPriority w:val="99"/>
    <w:semiHidden/>
    <w:unhideWhenUsed/>
    <w:rPr>
      <w:sz w:val="16"/>
      <w:szCs w:val="16"/>
    </w:rPr>
  </w:style>
  <w:style w:type="paragraph" w:styleId="933">
    <w:name w:val="annotation text"/>
    <w:basedOn w:val="716"/>
    <w:link w:val="934"/>
    <w:uiPriority w:val="99"/>
    <w:semiHidden/>
    <w:unhideWhenUsed/>
  </w:style>
  <w:style w:type="character" w:styleId="934" w:customStyle="1">
    <w:name w:val="Текст примечания Знак"/>
    <w:basedOn w:val="726"/>
    <w:link w:val="933"/>
    <w:uiPriority w:val="99"/>
    <w:semiHidden/>
    <w:rPr>
      <w:sz w:val="20"/>
      <w:szCs w:val="20"/>
    </w:rPr>
  </w:style>
  <w:style w:type="paragraph" w:styleId="935">
    <w:name w:val="annotation subject"/>
    <w:basedOn w:val="933"/>
    <w:next w:val="933"/>
    <w:link w:val="936"/>
    <w:uiPriority w:val="99"/>
    <w:semiHidden/>
    <w:unhideWhenUsed/>
    <w:rPr>
      <w:b/>
      <w:bCs/>
    </w:rPr>
  </w:style>
  <w:style w:type="character" w:styleId="936" w:customStyle="1">
    <w:name w:val="Тема примечания Знак"/>
    <w:basedOn w:val="934"/>
    <w:link w:val="935"/>
    <w:uiPriority w:val="99"/>
    <w:semiHidden/>
    <w:rPr>
      <w:b/>
      <w:bCs/>
      <w:sz w:val="20"/>
      <w:szCs w:val="20"/>
    </w:rPr>
  </w:style>
  <w:style w:type="paragraph" w:styleId="937">
    <w:name w:val="Revision"/>
    <w:hidden/>
    <w:uiPriority w:val="99"/>
    <w:semiHidden/>
    <w:pPr>
      <w:spacing w:after="0" w:line="240" w:lineRule="auto"/>
    </w:pPr>
    <w:rPr>
      <w:sz w:val="20"/>
      <w:szCs w:val="20"/>
    </w:rPr>
  </w:style>
  <w:style w:type="paragraph" w:styleId="938">
    <w:name w:val="Normal (Web)"/>
    <w:basedOn w:val="716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styleId="939" w:customStyle="1">
    <w:name w:val="ConsPlus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sz w:val="20"/>
      <w:szCs w:val="20"/>
      <w:lang w:val="en-US" w:eastAsia="zh-CN"/>
    </w:rPr>
  </w:style>
  <w:style w:type="paragraph" w:styleId="940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41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hyperlink" Target="https://minstroy.nso.ru/page/912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6349C1F-9E29-43B6-84D7-5645940FE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/>
  <cp:keywords/>
  <dc:description/>
  <cp:revision>83</cp:revision>
  <dcterms:created xsi:type="dcterms:W3CDTF">2022-05-04T04:59:00Z</dcterms:created>
  <dcterms:modified xsi:type="dcterms:W3CDTF">2025-08-06T09:38:23Z</dcterms:modified>
</cp:coreProperties>
</file>