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8"/>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8"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Новосибирской области от 30.12.2021 N 572-п</w:t>
              <w:br/>
              <w:t xml:space="preserve">(ред. от 15.07.2025)</w:t>
              <w:br/>
              <w:t xml:space="preserve">"Об утверждении Положения о региональном государственном контроле (надзоре) за деятельностью жилищно-строительных кооперативов, связанной с привлечением денежных средств членов кооперативов для строительства многоквартирных домов"</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9" w:tooltip="Ссылка на КонсультантПлюс" w:history="0">
              <w:r>
                <w:rPr>
                  <w:b/>
                  <w:color w:val="0000ff"/>
                  <w:sz w:val="28"/>
                </w:rPr>
                <w:t xml:space="preserve">КонсультантПлюс</w:t>
                <w:br/>
                <w:br/>
              </w:r>
            </w:hyperlink>
            <w:hyperlink r:id="rId20" w:tooltip="Ссылка на КонсультантПлюс" w:history="0">
              <w:r>
                <w:rPr>
                  <w:b/>
                  <w:color w:val="0000ff"/>
                  <w:sz w:val="28"/>
                </w:rPr>
                <w:t xml:space="preserve">www.consultant.ru</w:t>
              </w:r>
            </w:hyperlink>
            <w:r>
              <w:rPr>
                <w:sz w:val="28"/>
              </w:rPr>
              <w:br/>
              <w:br/>
              <w:t xml:space="preserve">Дата сохранения: 04.05.2026</w:t>
            </w:r>
            <w:r>
              <w:rPr>
                <w:sz w:val="28"/>
              </w:rPr>
              <w:br/>
              <w:t xml:space="preserve"> </w:t>
            </w:r>
          </w:p>
        </w:tc>
      </w:tr>
    </w:tbl>
    <w:p>
      <w:pPr>
        <w:sectPr>
          <w:pgSz w:w="11906" w:h="16838"/>
          <w:pgMar w:top="841" w:right="595" w:bottom="841" w:left="595" w:header="0" w:footer="0" w:gutter="0"/>
          <w:cols w:space="708"/>
          <w:docGrid w:linePitch="360"/>
          <w:titlePg/>
        </w:sectPr>
      </w:pPr>
    </w:p>
    <w:p>
      <w:pPr>
        <w:pStyle w:val="0"/>
        <w:ind w:firstLine="540"/>
        <w:jc w:val="both"/>
        <w:outlineLvl w:val="0"/>
      </w:pPr>
      <w:r>
        <w:rPr>
          <w:sz w:val="24"/>
        </w:rPr>
      </w:r>
    </w:p>
    <w:p>
      <w:pPr>
        <w:pStyle w:val="2"/>
        <w:jc w:val="center"/>
        <w:outlineLvl w:val="0"/>
      </w:pPr>
      <w:r>
        <w:rPr>
          <w:sz w:val="24"/>
        </w:rPr>
        <w:t xml:space="preserve">ПРАВИТЕЛЬСТВО НОВОСИБИРСКОЙ ОБЛАСТИ</w:t>
      </w:r>
    </w:p>
    <w:p>
      <w:pPr>
        <w:pStyle w:val="2"/>
        <w:ind w:firstLine="540"/>
        <w:jc w:val="both"/>
      </w:pPr>
      <w:r>
        <w:rPr>
          <w:sz w:val="24"/>
        </w:rPr>
      </w:r>
    </w:p>
    <w:p>
      <w:pPr>
        <w:pStyle w:val="2"/>
        <w:jc w:val="center"/>
      </w:pPr>
      <w:r>
        <w:rPr>
          <w:sz w:val="24"/>
        </w:rPr>
        <w:t xml:space="preserve">ПОСТАНОВЛЕНИЕ</w:t>
      </w:r>
    </w:p>
    <w:p>
      <w:pPr>
        <w:pStyle w:val="2"/>
        <w:jc w:val="center"/>
      </w:pPr>
      <w:r>
        <w:rPr>
          <w:sz w:val="24"/>
        </w:rPr>
        <w:t xml:space="preserve">от 30 декабря 2021 г. N 572-п</w:t>
      </w:r>
    </w:p>
    <w:p>
      <w:pPr>
        <w:pStyle w:val="2"/>
        <w:ind w:firstLine="540"/>
        <w:jc w:val="both"/>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КОНТРОЛЕ (НАДЗОРЕ) ЗА ДЕЯТЕЛЬНОСТЬЮ ЖИЛИЩНО-СТРОИТЕЛЬНЫХ</w:t>
      </w:r>
    </w:p>
    <w:p>
      <w:pPr>
        <w:pStyle w:val="2"/>
        <w:jc w:val="center"/>
      </w:pPr>
      <w:r>
        <w:rPr>
          <w:sz w:val="24"/>
        </w:rPr>
        <w:t xml:space="preserve">КООПЕРАТИВОВ, СВЯЗАННОЙ С ПРИВЛЕЧЕНИЕМ ДЕНЕЖНЫХ СРЕДСТВ</w:t>
      </w:r>
    </w:p>
    <w:p>
      <w:pPr>
        <w:pStyle w:val="2"/>
        <w:jc w:val="center"/>
      </w:pPr>
      <w:r>
        <w:rPr>
          <w:sz w:val="24"/>
        </w:rPr>
        <w:t xml:space="preserve">ЧЛЕНОВ КООПЕРАТИВОВ ДЛЯ СТРОИТЕЛЬСТВА МНОГОКВАРТИРНЫХ ДОМОВ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Новосибирской области</w:t>
            </w:r>
          </w:p>
          <w:p>
            <w:pPr>
              <w:pStyle w:val="0"/>
              <w:jc w:val="center"/>
            </w:pPr>
            <w:r>
              <w:rPr>
                <w:color w:val="392c69"/>
                <w:sz w:val="24"/>
              </w:rPr>
              <w:t xml:space="preserve">от 11.07.2023 </w:t>
            </w:r>
            <w:hyperlink r:id="rId21" w:tooltip="Постановление Правительства Новосибирской области от 11.07.2023 N 300-п &quot;О внесении изменения в постановление Правительства Новосибирской области от 30.12.2021 N 572-п&quot; {КонсультантПлюс}" w:history="0">
              <w:r>
                <w:rPr>
                  <w:color w:val="0000ff"/>
                  <w:sz w:val="24"/>
                </w:rPr>
                <w:t xml:space="preserve">N 300-п</w:t>
              </w:r>
            </w:hyperlink>
            <w:r>
              <w:rPr>
                <w:color w:val="392c69"/>
                <w:sz w:val="24"/>
              </w:rPr>
              <w:t xml:space="preserve">, от 23.09.2024 </w:t>
            </w:r>
            <w:hyperlink r:id="rId22" w:tooltip="Постановление Правительства Новосибирской области от 23.09.2024 N 432-п &quot;О внесении изменений в постановление Правительства Новосибирской области от 30.12.2021 N 572-п&quot; {КонсультантПлюс}" w:history="0">
              <w:r>
                <w:rPr>
                  <w:color w:val="0000ff"/>
                  <w:sz w:val="24"/>
                </w:rPr>
                <w:t xml:space="preserve">N 432-п</w:t>
              </w:r>
            </w:hyperlink>
            <w:r>
              <w:rPr>
                <w:color w:val="392c69"/>
                <w:sz w:val="24"/>
              </w:rPr>
              <w:t xml:space="preserve">, от 15.07.2025 </w:t>
            </w:r>
            <w:hyperlink r:id="rId23"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N 311-п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В соответствии с </w:t>
      </w:r>
      <w:hyperlink r:id="rId2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пунктом 3 части 2 статьи 3</w:t>
        </w:r>
      </w:hyperlink>
      <w:r>
        <w:rPr>
          <w:sz w:val="24"/>
        </w:rPr>
        <w:t xml:space="preserve"> Федерального закона от 31.07.2020 N 248-ФЗ "О государственном контроле (надзоре) и муниципальном контроле в Российской Федерации", </w:t>
      </w:r>
      <w:hyperlink r:id="rId25" w:tooltip="&quot;Жилищный кодекс Российской Федерации&quot; от 29.12.2004 N 188-ФЗ (ред. от 20.02.2026) {КонсультантПлюс}" w:history="0">
        <w:r>
          <w:rPr>
            <w:color w:val="0000ff"/>
            <w:sz w:val="24"/>
          </w:rPr>
          <w:t xml:space="preserve">частью 5 статьи 123.3</w:t>
        </w:r>
      </w:hyperlink>
      <w:r>
        <w:rPr>
          <w:sz w:val="24"/>
        </w:rPr>
        <w:t xml:space="preserve"> Жилищного кодекса Российской Федерации Правительство Новосибирской области постановляет:</w:t>
      </w:r>
    </w:p>
    <w:p>
      <w:pPr>
        <w:pStyle w:val="0"/>
        <w:spacing w:before="240"/>
        <w:ind w:firstLine="540"/>
        <w:jc w:val="both"/>
      </w:pPr>
      <w:r>
        <w:rPr>
          <w:sz w:val="24"/>
        </w:rPr>
        <w:t xml:space="preserve">1. Утвердить прилагаемое </w:t>
      </w:r>
      <w:hyperlink w:tooltip="ПОЛОЖЕНИЕ" w:anchor="P37" w:history="0">
        <w:r>
          <w:rPr>
            <w:color w:val="0000ff"/>
            <w:sz w:val="24"/>
          </w:rPr>
          <w:t xml:space="preserve">Положение</w:t>
        </w:r>
      </w:hyperlink>
      <w:r>
        <w:rPr>
          <w:sz w:val="24"/>
        </w:rPr>
        <w:t xml:space="preserve"> о региональном государственном контроле (надзоре) за деятельностью жилищно-строительных кооперативов, связанной с привлечением денежных средств членов кооперативов для строительства многоквартирных домов (далее - Положение).</w:t>
      </w:r>
    </w:p>
    <w:p>
      <w:pPr>
        <w:pStyle w:val="0"/>
        <w:spacing w:before="240"/>
        <w:ind w:firstLine="540"/>
        <w:jc w:val="both"/>
      </w:pPr>
      <w:r>
        <w:rPr>
          <w:sz w:val="24"/>
        </w:rPr>
        <w:t xml:space="preserve">2. Утвердить прилагаемый </w:t>
      </w:r>
      <w:hyperlink w:tooltip="ПЕРЕЧЕНЬ" w:anchor="P328" w:history="0">
        <w:r>
          <w:rPr>
            <w:color w:val="0000ff"/>
            <w:sz w:val="24"/>
          </w:rPr>
          <w:t xml:space="preserve">перечень</w:t>
        </w:r>
      </w:hyperlink>
      <w:r>
        <w:rPr>
          <w:sz w:val="24"/>
        </w:rPr>
        <w:t xml:space="preserve"> индикаторов риска нарушения обязательных требований при осуществлении регионального государственного контроля (надзора) за деятельностью жилищно-строительных кооперативов, связанной с привлечением денежных средств членов кооперативов для строительства многоквартирных домов.</w:t>
      </w:r>
    </w:p>
    <w:bookmarkStart w:id="17" w:name="P17"/>
    <w:bookmarkEnd w:id="17"/>
    <w:p>
      <w:pPr>
        <w:pStyle w:val="0"/>
        <w:spacing w:before="240"/>
        <w:ind w:firstLine="540"/>
        <w:jc w:val="both"/>
      </w:pPr>
      <w:r>
        <w:rPr>
          <w:sz w:val="24"/>
        </w:rPr>
        <w:t xml:space="preserve">3. Утвердить прилагаемые ключевые </w:t>
      </w:r>
      <w:hyperlink w:tooltip="КЛЮЧЕВЫЕ ПОКАЗАТЕЛИ И ИХ ЦЕЛЕВЫЕ ЗНАЧЕНИЯ, ИНДИКАТИВНЫЕ" w:anchor="P349" w:history="0">
        <w:r>
          <w:rPr>
            <w:color w:val="0000ff"/>
            <w:sz w:val="24"/>
          </w:rPr>
          <w:t xml:space="preserve">показатели</w:t>
        </w:r>
      </w:hyperlink>
      <w:r>
        <w:rPr>
          <w:sz w:val="24"/>
        </w:rPr>
        <w:t xml:space="preserve"> и их целевые значения, индикативные показатели регионального государственного контроля (надзора) за деятельностью жилищно-строительных кооперативов, осуществляющих строительство многоквартирных домов.</w:t>
      </w:r>
    </w:p>
    <w:p>
      <w:pPr>
        <w:pStyle w:val="0"/>
        <w:spacing w:before="240"/>
        <w:ind w:firstLine="540"/>
        <w:jc w:val="both"/>
      </w:pPr>
      <w:r>
        <w:rPr>
          <w:sz w:val="24"/>
        </w:rPr>
        <w:t xml:space="preserve">4. Признать утратившими силу:</w:t>
      </w:r>
    </w:p>
    <w:p>
      <w:pPr>
        <w:pStyle w:val="0"/>
        <w:spacing w:before="240"/>
        <w:ind w:firstLine="540"/>
        <w:jc w:val="both"/>
      </w:pPr>
      <w:r>
        <w:rPr>
          <w:sz w:val="24"/>
        </w:rPr>
        <w:t xml:space="preserve">1) </w:t>
      </w:r>
      <w:hyperlink r:id="rId26" w:tooltip="Постановление Правительства Новосибирской области от 15.09.2020 N 392-п &quot;О порядке организации контроля за деятельностью жилищно-строительных кооперативов, связанной с привлечением денежных средств граждан для строительства многоквартирных домов на территории Новосибирской области&quot; ------------ Утратил силу или отменен {КонсультантПлюс}" w:history="0">
        <w:r>
          <w:rPr>
            <w:color w:val="0000ff"/>
            <w:sz w:val="24"/>
          </w:rPr>
          <w:t xml:space="preserve">постановление</w:t>
        </w:r>
      </w:hyperlink>
      <w:r>
        <w:rPr>
          <w:sz w:val="24"/>
        </w:rPr>
        <w:t xml:space="preserve"> Правительства Новосибирской области от 15.09.2020 N 392-п "О порядке организации контроля за деятельностью жилищно-строительных кооперативов, связанной с привлечением денежных средств граждан для строительства многоквартирных домов на территории Новосибирской области";</w:t>
      </w:r>
    </w:p>
    <w:p>
      <w:pPr>
        <w:pStyle w:val="0"/>
        <w:spacing w:before="240"/>
        <w:ind w:firstLine="540"/>
        <w:jc w:val="both"/>
      </w:pPr>
      <w:r>
        <w:rPr>
          <w:sz w:val="24"/>
        </w:rPr>
        <w:t xml:space="preserve">2) </w:t>
      </w:r>
      <w:hyperlink r:id="rId27" w:tooltip="Постановление Правительства Новосибирской области от 17.04.2018 N 155-п &quot;Об определении перечня должностных лиц министерства строительства Новосибирской области, осуществляющих контроль за деятельностью жилищно-строительных кооперативов в соответствии со статьей 123.2 Жилищного кодекса Российской Федерации&quot; ------------ Утратил силу или отменен {КонсультантПлюс}" w:history="0">
        <w:r>
          <w:rPr>
            <w:color w:val="0000ff"/>
            <w:sz w:val="24"/>
          </w:rPr>
          <w:t xml:space="preserve">постановление</w:t>
        </w:r>
      </w:hyperlink>
      <w:r>
        <w:rPr>
          <w:sz w:val="24"/>
        </w:rPr>
        <w:t xml:space="preserve"> Правительства Новосибирской области от 17.04.2018 N 155-п "Об определении перечня должностных лиц министерства строительства Новосибирской области, осуществляющих контроль за деятельностью жилищно-строительных кооперативов в соответствии со статьей 123.2 Жилищного кодекса Российской Федерации".</w:t>
      </w:r>
    </w:p>
    <w:p>
      <w:pPr>
        <w:pStyle w:val="0"/>
        <w:spacing w:before="240"/>
        <w:ind w:firstLine="540"/>
        <w:jc w:val="both"/>
      </w:pPr>
      <w:r>
        <w:rPr>
          <w:sz w:val="24"/>
        </w:rPr>
        <w:t xml:space="preserve">5. </w:t>
      </w:r>
      <w:hyperlink w:tooltip="3. Утвердить прилагаемые ключевые показатели и их целевые значения, индикативные показатели регионального государственного контроля (надзора) за деятельностью жилищно-строительных кооперативов, осуществляющих строительство многоквартирных домов." w:anchor="P17" w:history="0">
        <w:r>
          <w:rPr>
            <w:color w:val="0000ff"/>
            <w:sz w:val="24"/>
          </w:rPr>
          <w:t xml:space="preserve">Пункт 3</w:t>
        </w:r>
      </w:hyperlink>
      <w:r>
        <w:rPr>
          <w:sz w:val="24"/>
        </w:rPr>
        <w:t xml:space="preserve"> настоящего постановления, </w:t>
      </w:r>
      <w:hyperlink w:tooltip="IX. Оценка результативности и эффективности" w:anchor="P276" w:history="0">
        <w:r>
          <w:rPr>
            <w:color w:val="0000ff"/>
            <w:sz w:val="24"/>
          </w:rPr>
          <w:t xml:space="preserve">глава IX</w:t>
        </w:r>
      </w:hyperlink>
      <w:r>
        <w:rPr>
          <w:sz w:val="24"/>
        </w:rPr>
        <w:t xml:space="preserve"> Положения вступают в силу с 01.03.2022.</w:t>
      </w:r>
    </w:p>
    <w:p>
      <w:pPr>
        <w:pStyle w:val="0"/>
        <w:spacing w:before="240"/>
        <w:ind w:firstLine="540"/>
        <w:jc w:val="both"/>
      </w:pPr>
      <w:r>
        <w:rPr>
          <w:sz w:val="24"/>
        </w:rPr>
        <w:t xml:space="preserve">6. Настоящее постановление вступает в силу с 01.01.2022, за исключением </w:t>
      </w:r>
      <w:hyperlink w:tooltip="3. Утвердить прилагаемые ключевые показатели и их целевые значения, индикативные показатели регионального государственного контроля (надзора) за деятельностью жилищно-строительных кооперативов, осуществляющих строительство многоквартирных домов." w:anchor="P17" w:history="0">
        <w:r>
          <w:rPr>
            <w:color w:val="0000ff"/>
            <w:sz w:val="24"/>
          </w:rPr>
          <w:t xml:space="preserve">пункта 3</w:t>
        </w:r>
      </w:hyperlink>
      <w:r>
        <w:rPr>
          <w:sz w:val="24"/>
        </w:rPr>
        <w:t xml:space="preserve"> настоящего постановления, </w:t>
      </w:r>
      <w:hyperlink w:tooltip="IX. Оценка результативности и эффективности" w:anchor="P276" w:history="0">
        <w:r>
          <w:rPr>
            <w:color w:val="0000ff"/>
            <w:sz w:val="24"/>
          </w:rPr>
          <w:t xml:space="preserve">главы IX</w:t>
        </w:r>
      </w:hyperlink>
      <w:r>
        <w:rPr>
          <w:sz w:val="24"/>
        </w:rPr>
        <w:t xml:space="preserve"> Положения.</w:t>
      </w:r>
    </w:p>
    <w:p>
      <w:pPr>
        <w:pStyle w:val="0"/>
        <w:spacing w:before="240"/>
        <w:ind w:firstLine="540"/>
        <w:jc w:val="both"/>
      </w:pPr>
      <w:r>
        <w:rPr>
          <w:sz w:val="24"/>
        </w:rPr>
        <w:t xml:space="preserve">7. Контроль за исполнением настоящего постановления возложить на заместителя Губернатора Новосибирской области Теленчинова Р.А.</w:t>
      </w:r>
    </w:p>
    <w:p>
      <w:pPr>
        <w:pStyle w:val="0"/>
        <w:ind w:firstLine="540"/>
        <w:jc w:val="both"/>
      </w:pPr>
      <w:r>
        <w:rPr>
          <w:sz w:val="24"/>
        </w:rPr>
      </w:r>
    </w:p>
    <w:p>
      <w:pPr>
        <w:pStyle w:val="0"/>
        <w:jc w:val="right"/>
      </w:pPr>
      <w:r>
        <w:rPr>
          <w:sz w:val="24"/>
        </w:rPr>
        <w:t xml:space="preserve">Губернатор Новосибирской области</w:t>
      </w:r>
    </w:p>
    <w:p>
      <w:pPr>
        <w:pStyle w:val="0"/>
        <w:jc w:val="right"/>
      </w:pPr>
      <w:r>
        <w:rPr>
          <w:sz w:val="24"/>
        </w:rPr>
        <w:t xml:space="preserve">А.А.ТРАВНИКОВ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Правительства Новосибирской области</w:t>
      </w:r>
    </w:p>
    <w:p>
      <w:pPr>
        <w:pStyle w:val="0"/>
        <w:jc w:val="right"/>
      </w:pPr>
      <w:r>
        <w:rPr>
          <w:sz w:val="24"/>
        </w:rPr>
        <w:t xml:space="preserve">от 30.12.2021 N 572-п</w:t>
      </w:r>
    </w:p>
    <w:p>
      <w:pPr>
        <w:pStyle w:val="0"/>
        <w:ind w:firstLine="540"/>
        <w:jc w:val="both"/>
      </w:pPr>
      <w:r>
        <w:rPr>
          <w:sz w:val="24"/>
        </w:rPr>
      </w:r>
    </w:p>
    <w:bookmarkStart w:id="37" w:name="P37"/>
    <w:bookmarkEnd w:id="37"/>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w:t>
      </w:r>
    </w:p>
    <w:p>
      <w:pPr>
        <w:pStyle w:val="2"/>
        <w:jc w:val="center"/>
      </w:pPr>
      <w:r>
        <w:rPr>
          <w:sz w:val="24"/>
        </w:rPr>
        <w:t xml:space="preserve">ЗА ДЕЯТЕЛЬНОСТЬЮ ЖИЛИЩНО-СТРОИТЕЛЬНЫХ КООПЕРАТИВОВ,</w:t>
      </w:r>
    </w:p>
    <w:p>
      <w:pPr>
        <w:pStyle w:val="2"/>
        <w:jc w:val="center"/>
      </w:pPr>
      <w:r>
        <w:rPr>
          <w:sz w:val="24"/>
        </w:rPr>
        <w:t xml:space="preserve">СВЯЗАННОЙ С ПРИВЛЕЧЕНИЕМ СРЕДСТВ ЧЛЕНОВ КООПЕРАТИВОВ</w:t>
      </w:r>
    </w:p>
    <w:p>
      <w:pPr>
        <w:pStyle w:val="2"/>
        <w:jc w:val="center"/>
      </w:pPr>
      <w:r>
        <w:rPr>
          <w:sz w:val="24"/>
        </w:rPr>
        <w:t xml:space="preserve">ДЛЯ СТРОИТЕЛЬСТВА МНОГОКВАРТИРНЫХ ДОМОВ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Новосибирской области</w:t>
            </w:r>
          </w:p>
          <w:p>
            <w:pPr>
              <w:pStyle w:val="0"/>
              <w:jc w:val="center"/>
            </w:pPr>
            <w:r>
              <w:rPr>
                <w:color w:val="392c69"/>
                <w:sz w:val="24"/>
              </w:rPr>
              <w:t xml:space="preserve">от 23.09.2024 </w:t>
            </w:r>
            <w:hyperlink r:id="rId28" w:tooltip="Постановление Правительства Новосибирской области от 23.09.2024 N 432-п &quot;О внесении изменений в постановление Правительства Новосибирской области от 30.12.2021 N 572-п&quot; {КонсультантПлюс}" w:history="0">
              <w:r>
                <w:rPr>
                  <w:color w:val="0000ff"/>
                  <w:sz w:val="24"/>
                </w:rPr>
                <w:t xml:space="preserve">N 432-п</w:t>
              </w:r>
            </w:hyperlink>
            <w:r>
              <w:rPr>
                <w:color w:val="392c69"/>
                <w:sz w:val="24"/>
              </w:rPr>
              <w:t xml:space="preserve">, от 15.07.2025 </w:t>
            </w:r>
            <w:hyperlink r:id="rId29"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N 311-п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2"/>
        <w:jc w:val="center"/>
        <w:outlineLvl w:val="1"/>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на территории Новосибирской области регионального государственного контроля (надзора) за деятельностью жилищно-строительных кооперативов, связанной с привлечением средств членов кооперативов для строительства многоквартирных домов на территории Новосибирской области (далее - Региональный государственный контроль).</w:t>
      </w:r>
    </w:p>
    <w:p>
      <w:pPr>
        <w:pStyle w:val="0"/>
        <w:spacing w:before="240"/>
        <w:ind w:firstLine="540"/>
        <w:jc w:val="both"/>
      </w:pPr>
      <w:r>
        <w:rPr>
          <w:sz w:val="24"/>
        </w:rPr>
        <w:t xml:space="preserve">2. Организация и осуществление государственного контроля (надзора) регулируются Федеральным </w:t>
      </w:r>
      <w:hyperlink r:id="rId3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от 31.07.2020 N 248-ФЗ "О государственном контроле (надзоре) и муниципальном контроле в Российской Федерации" (далее - Федеральный закон N 248-ФЗ).</w:t>
      </w:r>
    </w:p>
    <w:p>
      <w:pPr>
        <w:pStyle w:val="0"/>
        <w:spacing w:before="240"/>
        <w:ind w:firstLine="540"/>
        <w:jc w:val="both"/>
      </w:pPr>
      <w:r>
        <w:rPr>
          <w:sz w:val="24"/>
        </w:rPr>
        <w:t xml:space="preserve">3. Предметом Регионального государственного контроля является соблюдение жилищно-строительными кооперативами (далее - контролируемые лица) обязательных требований, установленных </w:t>
      </w:r>
      <w:hyperlink r:id="rId31" w:tooltip="&quot;Жилищный кодекс Российской Федерации&quot; от 29.12.2004 N 188-ФЗ (ред. от 20.02.2026) {КонсультантПлюс}" w:history="0">
        <w:r>
          <w:rPr>
            <w:color w:val="0000ff"/>
            <w:sz w:val="24"/>
          </w:rPr>
          <w:t xml:space="preserve">частью 3 статьи 110</w:t>
        </w:r>
      </w:hyperlink>
      <w:r>
        <w:rPr>
          <w:sz w:val="24"/>
        </w:rPr>
        <w:t xml:space="preserve"> Жилищного кодекса Российской Федерации (далее - ЖК РФ), за исключением последующего содержания многоквартирного дома, и </w:t>
      </w:r>
      <w:hyperlink r:id="rId32" w:tooltip="&quot;Жилищный кодекс Российской Федерации&quot; от 29.12.2004 N 188-ФЗ (ред. от 20.02.2026) {КонсультантПлюс}" w:history="0">
        <w:r>
          <w:rPr>
            <w:color w:val="0000ff"/>
            <w:sz w:val="24"/>
          </w:rPr>
          <w:t xml:space="preserve">статьей 123.1</w:t>
        </w:r>
      </w:hyperlink>
      <w:r>
        <w:rPr>
          <w:sz w:val="24"/>
        </w:rPr>
        <w:t xml:space="preserve"> ЖК РФ (далее - обязательные требования).</w:t>
      </w:r>
    </w:p>
    <w:p>
      <w:pPr>
        <w:pStyle w:val="0"/>
        <w:spacing w:before="240"/>
        <w:ind w:firstLine="540"/>
        <w:jc w:val="both"/>
      </w:pPr>
      <w:r>
        <w:rPr>
          <w:sz w:val="24"/>
        </w:rPr>
        <w:t xml:space="preserve">4. Региональный государственный контроль осуществляется министерством строительства Новосибирской области (далее - Министерство) и направлен на предупреждение, выявление и пресечение нарушений обязательных требований, установленных </w:t>
      </w:r>
      <w:hyperlink r:id="rId33" w:tooltip="&quot;Жилищный кодекс Российской Федерации&quot; от 29.12.2004 N 188-ФЗ (ред. от 20.02.2026) {КонсультантПлюс}" w:history="0">
        <w:r>
          <w:rPr>
            <w:color w:val="0000ff"/>
            <w:sz w:val="24"/>
          </w:rPr>
          <w:t xml:space="preserve">частью 3 статьи 110</w:t>
        </w:r>
      </w:hyperlink>
      <w:r>
        <w:rPr>
          <w:sz w:val="24"/>
        </w:rPr>
        <w:t xml:space="preserve"> ЖК РФ, за исключением последующего содержания многоквартирного дома, и </w:t>
      </w:r>
      <w:hyperlink r:id="rId34" w:tooltip="&quot;Жилищный кодекс Российской Федерации&quot; от 29.12.2004 N 188-ФЗ (ред. от 20.02.2026) {КонсультантПлюс}" w:history="0">
        <w:r>
          <w:rPr>
            <w:color w:val="0000ff"/>
            <w:sz w:val="24"/>
          </w:rPr>
          <w:t xml:space="preserve">статьей 123.1</w:t>
        </w:r>
      </w:hyperlink>
      <w:r>
        <w:rPr>
          <w:sz w:val="24"/>
        </w:rPr>
        <w:t xml:space="preserve"> ЖК РФ.</w:t>
      </w:r>
    </w:p>
    <w:bookmarkStart w:id="52" w:name="P52"/>
    <w:bookmarkEnd w:id="52"/>
    <w:p>
      <w:pPr>
        <w:pStyle w:val="0"/>
        <w:spacing w:before="240"/>
        <w:ind w:firstLine="540"/>
        <w:jc w:val="both"/>
      </w:pPr>
      <w:r>
        <w:rPr>
          <w:sz w:val="24"/>
        </w:rPr>
        <w:t xml:space="preserve">5. Должностными лицами, уполномоченными на осуществление Регионального государственного контроля, являются:</w:t>
      </w:r>
    </w:p>
    <w:p>
      <w:pPr>
        <w:pStyle w:val="0"/>
        <w:spacing w:before="240"/>
        <w:ind w:firstLine="540"/>
        <w:jc w:val="both"/>
      </w:pPr>
      <w:r>
        <w:rPr>
          <w:sz w:val="24"/>
        </w:rPr>
        <w:t xml:space="preserve">1) заместитель министра строительства Новосибирской области;</w:t>
      </w:r>
    </w:p>
    <w:p>
      <w:pPr>
        <w:pStyle w:val="0"/>
        <w:spacing w:before="240"/>
        <w:ind w:firstLine="540"/>
        <w:jc w:val="both"/>
      </w:pPr>
      <w:r>
        <w:rPr>
          <w:sz w:val="24"/>
        </w:rPr>
        <w:t xml:space="preserve">2) начальник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3) заместитель начальника управления - начальник отдела государственного контроля в области долевого строительства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4) заместитель начальника отдела государственного контроля в области долевого строительства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5) консультант отдела государственного контроля в области долевого строительства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6) начальник отдела анализа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7) консультант отдела анализа управления контроля в области долевого строительства и инженерного обеспечения министерства строительства Новосибирской области.</w:t>
      </w:r>
    </w:p>
    <w:p>
      <w:pPr>
        <w:pStyle w:val="0"/>
        <w:spacing w:before="240"/>
        <w:ind w:firstLine="540"/>
        <w:jc w:val="both"/>
      </w:pPr>
      <w:r>
        <w:rPr>
          <w:sz w:val="24"/>
        </w:rPr>
        <w:t xml:space="preserve">6. Должностными лицами Министерства, уполномоченными на принятие решений о проведении контрольных (надзорных) мероприятий в целях осуществления государственного контроля (надзора), являются:</w:t>
      </w:r>
    </w:p>
    <w:p>
      <w:pPr>
        <w:pStyle w:val="0"/>
        <w:spacing w:before="240"/>
        <w:ind w:firstLine="540"/>
        <w:jc w:val="both"/>
      </w:pPr>
      <w:r>
        <w:rPr>
          <w:sz w:val="24"/>
        </w:rPr>
        <w:t xml:space="preserve">1) министр строительства Новосибирской области;</w:t>
      </w:r>
    </w:p>
    <w:p>
      <w:pPr>
        <w:pStyle w:val="0"/>
        <w:spacing w:before="240"/>
        <w:ind w:firstLine="540"/>
        <w:jc w:val="both"/>
      </w:pPr>
      <w:r>
        <w:rPr>
          <w:sz w:val="24"/>
        </w:rPr>
        <w:t xml:space="preserve">2) заместитель министра строительства Новосибирской области.</w:t>
      </w:r>
    </w:p>
    <w:p>
      <w:pPr>
        <w:pStyle w:val="0"/>
        <w:spacing w:before="240"/>
        <w:ind w:firstLine="540"/>
        <w:jc w:val="both"/>
      </w:pPr>
      <w:r>
        <w:rPr>
          <w:sz w:val="24"/>
        </w:rPr>
        <w:t xml:space="preserve">7. Должностными лицами Министерства, уполномоченными на проведение конкретного контрольного (надзорного) мероприятия, являются должностные лица из числа предусмотренных </w:t>
      </w:r>
      <w:hyperlink w:tooltip="5. Должностными лицами, уполномоченными на осуществление Регионального государственного контроля, являются:" w:anchor="P52" w:history="0">
        <w:r>
          <w:rPr>
            <w:color w:val="0000ff"/>
            <w:sz w:val="24"/>
          </w:rPr>
          <w:t xml:space="preserve">пунктом 5</w:t>
        </w:r>
      </w:hyperlink>
      <w:r>
        <w:rPr>
          <w:sz w:val="24"/>
        </w:rPr>
        <w:t xml:space="preserve"> настоящего Положения, указанные в решении Министерства о проведении такого мероприятия.</w:t>
      </w:r>
    </w:p>
    <w:p>
      <w:pPr>
        <w:pStyle w:val="0"/>
        <w:jc w:val="both"/>
      </w:pPr>
      <w:r>
        <w:rPr>
          <w:sz w:val="24"/>
        </w:rPr>
        <w:t xml:space="preserve">(в ред. </w:t>
      </w:r>
      <w:hyperlink r:id="rId35"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8. Должностные лица Министерства в пределах своих полномочий и в объеме проводимых контрольных (надзорных) действий пользуются правами, установленными </w:t>
      </w:r>
      <w:hyperlink r:id="rId3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2 статьи 29</w:t>
        </w:r>
      </w:hyperlink>
      <w:r>
        <w:rPr>
          <w:sz w:val="24"/>
        </w:rPr>
        <w:t xml:space="preserve"> Федерального закона N 248-ФЗ, </w:t>
      </w:r>
      <w:hyperlink r:id="rId37" w:tooltip="&quot;Жилищный кодекс Российской Федерации&quot; от 29.12.2004 N 188-ФЗ (ред. от 20.02.2026) {КонсультантПлюс}" w:history="0">
        <w:r>
          <w:rPr>
            <w:color w:val="0000ff"/>
            <w:sz w:val="24"/>
          </w:rPr>
          <w:t xml:space="preserve">статьей 123.2</w:t>
        </w:r>
      </w:hyperlink>
      <w:r>
        <w:rPr>
          <w:sz w:val="24"/>
        </w:rPr>
        <w:t xml:space="preserve"> ЖК РФ, а также вправе осуществлять копирование документов, непосредственно связанных с осуществлением контрольного (надзорного) мероприятия.</w:t>
      </w:r>
    </w:p>
    <w:p>
      <w:pPr>
        <w:pStyle w:val="0"/>
        <w:spacing w:before="240"/>
        <w:ind w:firstLine="540"/>
        <w:jc w:val="both"/>
      </w:pPr>
      <w:r>
        <w:rPr>
          <w:sz w:val="24"/>
        </w:rPr>
        <w:t xml:space="preserve">9. Должностные лица Министерства при проведении контрольного (надзорного) мероприятия в пределах своих полномочий и в объеме проводимых контрольных (надзорных) действий выполняют обязанности и пользуются правами согласно </w:t>
      </w:r>
      <w:hyperlink r:id="rId3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 29</w:t>
        </w:r>
      </w:hyperlink>
      <w:r>
        <w:rPr>
          <w:sz w:val="24"/>
        </w:rPr>
        <w:t xml:space="preserve"> Федерального закона N 248-ФЗ.</w:t>
      </w:r>
    </w:p>
    <w:p>
      <w:pPr>
        <w:pStyle w:val="0"/>
        <w:spacing w:before="240"/>
        <w:ind w:firstLine="540"/>
        <w:jc w:val="both"/>
      </w:pPr>
      <w:r>
        <w:rPr>
          <w:sz w:val="24"/>
        </w:rPr>
        <w:t xml:space="preserve">10. К отношениям, связанным с организацией и осуществлением Регионального государственного контроля, применяются положения Федерального </w:t>
      </w:r>
      <w:hyperlink r:id="rId3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закона</w:t>
        </w:r>
      </w:hyperlink>
      <w:r>
        <w:rPr>
          <w:sz w:val="24"/>
        </w:rPr>
        <w:t xml:space="preserve"> N 248-ФЗ, положения </w:t>
      </w:r>
      <w:hyperlink r:id="rId40" w:tooltip="&quot;Жилищный кодекс Российской Федерации&quot; от 29.12.2004 N 188-ФЗ (ред. от 20.02.2026) {КонсультантПлюс}" w:history="0">
        <w:r>
          <w:rPr>
            <w:color w:val="0000ff"/>
            <w:sz w:val="24"/>
          </w:rPr>
          <w:t xml:space="preserve">части 5 статьи 123.1</w:t>
        </w:r>
      </w:hyperlink>
      <w:r>
        <w:rPr>
          <w:sz w:val="24"/>
        </w:rPr>
        <w:t xml:space="preserve">, </w:t>
      </w:r>
      <w:hyperlink r:id="rId41" w:tooltip="&quot;Жилищный кодекс Российской Федерации&quot; от 29.12.2004 N 188-ФЗ (ред. от 20.02.2026) {КонсультантПлюс}" w:history="0">
        <w:r>
          <w:rPr>
            <w:color w:val="0000ff"/>
            <w:sz w:val="24"/>
          </w:rPr>
          <w:t xml:space="preserve">статьи 123.2</w:t>
        </w:r>
      </w:hyperlink>
      <w:r>
        <w:rPr>
          <w:sz w:val="24"/>
        </w:rPr>
        <w:t xml:space="preserve"> и </w:t>
      </w:r>
      <w:hyperlink r:id="rId42" w:tooltip="&quot;Жилищный кодекс Российской Федерации&quot; от 29.12.2004 N 188-ФЗ (ред. от 20.02.2026) {КонсультантПлюс}" w:history="0">
        <w:r>
          <w:rPr>
            <w:color w:val="0000ff"/>
            <w:sz w:val="24"/>
          </w:rPr>
          <w:t xml:space="preserve">123.3</w:t>
        </w:r>
      </w:hyperlink>
      <w:r>
        <w:rPr>
          <w:sz w:val="24"/>
        </w:rPr>
        <w:t xml:space="preserve"> ЖК РФ.</w:t>
      </w:r>
    </w:p>
    <w:p>
      <w:pPr>
        <w:pStyle w:val="0"/>
        <w:ind w:firstLine="540"/>
        <w:jc w:val="both"/>
      </w:pPr>
      <w:r>
        <w:rPr>
          <w:sz w:val="24"/>
        </w:rPr>
      </w:r>
    </w:p>
    <w:p>
      <w:pPr>
        <w:pStyle w:val="2"/>
        <w:jc w:val="center"/>
        <w:outlineLvl w:val="1"/>
      </w:pPr>
      <w:r>
        <w:rPr>
          <w:sz w:val="24"/>
        </w:rPr>
        <w:t xml:space="preserve">II. Объекты контроля</w:t>
      </w:r>
    </w:p>
    <w:p>
      <w:pPr>
        <w:pStyle w:val="0"/>
        <w:ind w:firstLine="540"/>
        <w:jc w:val="both"/>
      </w:pPr>
      <w:r>
        <w:rPr>
          <w:sz w:val="24"/>
        </w:rPr>
      </w:r>
    </w:p>
    <w:p>
      <w:pPr>
        <w:pStyle w:val="0"/>
        <w:ind w:firstLine="540"/>
        <w:jc w:val="both"/>
      </w:pPr>
      <w:r>
        <w:rPr>
          <w:sz w:val="24"/>
        </w:rPr>
        <w:t xml:space="preserve">11. Объектом государственного контроля (надзора) (далее - объект контроля (надзора) является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pPr>
        <w:pStyle w:val="0"/>
        <w:spacing w:before="240"/>
        <w:ind w:firstLine="540"/>
        <w:jc w:val="both"/>
      </w:pPr>
      <w:r>
        <w:rPr>
          <w:sz w:val="24"/>
        </w:rPr>
        <w:t xml:space="preserve">12. Учет объектов контроля и связанных с ними контролируемых лиц обеспечивается в соответствии с Федеральным </w:t>
      </w:r>
      <w:hyperlink r:id="rId4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посредством сбора, обработки, анализа и учета сведений об объектах контроля:</w:t>
      </w:r>
    </w:p>
    <w:p>
      <w:pPr>
        <w:pStyle w:val="0"/>
        <w:spacing w:before="240"/>
        <w:ind w:firstLine="540"/>
        <w:jc w:val="both"/>
      </w:pPr>
      <w:r>
        <w:rPr>
          <w:sz w:val="24"/>
        </w:rPr>
        <w:t xml:space="preserve">1) информации, получаемой в рамках межведомственного взаимодействия;</w:t>
      </w:r>
    </w:p>
    <w:p>
      <w:pPr>
        <w:pStyle w:val="0"/>
        <w:spacing w:before="240"/>
        <w:ind w:firstLine="540"/>
        <w:jc w:val="both"/>
      </w:pPr>
      <w:r>
        <w:rPr>
          <w:sz w:val="24"/>
        </w:rPr>
        <w:t xml:space="preserve">2) информации, содержащейся в единой информационной системе жилищного строительства (далее - ЕИСЖС), предусмотренной </w:t>
      </w:r>
      <w:hyperlink r:id="rId44"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статьей 23.3</w:t>
        </w:r>
      </w:hyperlink>
      <w:r>
        <w:rPr>
          <w:sz w:val="24"/>
        </w:rPr>
        <w:t xml:space="preserve"> Федерального закона N 214-ФЗ, обязанность по раскрытию которой возложена на контролируемое лицо в соответствии с обязательными требованиями;</w:t>
      </w:r>
    </w:p>
    <w:p>
      <w:pPr>
        <w:pStyle w:val="0"/>
        <w:spacing w:before="240"/>
        <w:ind w:firstLine="540"/>
        <w:jc w:val="both"/>
      </w:pPr>
      <w:r>
        <w:rPr>
          <w:sz w:val="24"/>
        </w:rPr>
        <w:t xml:space="preserve">3) информации, предоставляемой контролируемыми лицами в соответствии с </w:t>
      </w:r>
      <w:hyperlink r:id="rId45" w:tooltip="&quot;Жилищный кодекс Российской Федерации&quot; от 29.12.2004 N 188-ФЗ (ред. от 20.02.2026) {КонсультантПлюс}" w:history="0">
        <w:r>
          <w:rPr>
            <w:color w:val="0000ff"/>
            <w:sz w:val="24"/>
          </w:rPr>
          <w:t xml:space="preserve">ЖК</w:t>
        </w:r>
      </w:hyperlink>
      <w:r>
        <w:rPr>
          <w:sz w:val="24"/>
        </w:rPr>
        <w:t xml:space="preserve"> РФ и настоящим Положением;</w:t>
      </w:r>
    </w:p>
    <w:p>
      <w:pPr>
        <w:pStyle w:val="0"/>
        <w:spacing w:before="240"/>
        <w:ind w:firstLine="540"/>
        <w:jc w:val="both"/>
      </w:pPr>
      <w:r>
        <w:rPr>
          <w:sz w:val="24"/>
        </w:rPr>
        <w:t xml:space="preserve">4) результатов контрольных (надзорных) мероприятий.</w:t>
      </w:r>
    </w:p>
    <w:p>
      <w:pPr>
        <w:pStyle w:val="0"/>
        <w:ind w:firstLine="540"/>
        <w:jc w:val="both"/>
      </w:pPr>
      <w:r>
        <w:rPr>
          <w:sz w:val="24"/>
        </w:rPr>
      </w:r>
    </w:p>
    <w:p>
      <w:pPr>
        <w:pStyle w:val="2"/>
        <w:jc w:val="center"/>
        <w:outlineLvl w:val="1"/>
      </w:pPr>
      <w:r>
        <w:rPr>
          <w:sz w:val="24"/>
        </w:rPr>
        <w:t xml:space="preserve">III. Документы, используемые при осуществлении</w:t>
      </w:r>
    </w:p>
    <w:p>
      <w:pPr>
        <w:pStyle w:val="2"/>
        <w:jc w:val="center"/>
      </w:pPr>
      <w:r>
        <w:rPr>
          <w:sz w:val="24"/>
        </w:rPr>
        <w:t xml:space="preserve">Регионального государственного контроля</w:t>
      </w:r>
    </w:p>
    <w:p>
      <w:pPr>
        <w:pStyle w:val="0"/>
        <w:ind w:firstLine="540"/>
        <w:jc w:val="both"/>
      </w:pPr>
      <w:r>
        <w:rPr>
          <w:sz w:val="24"/>
        </w:rPr>
      </w:r>
    </w:p>
    <w:bookmarkStart w:id="81" w:name="P81"/>
    <w:bookmarkEnd w:id="81"/>
    <w:p>
      <w:pPr>
        <w:pStyle w:val="0"/>
        <w:ind w:firstLine="540"/>
        <w:jc w:val="both"/>
      </w:pPr>
      <w:r>
        <w:rPr>
          <w:sz w:val="24"/>
        </w:rPr>
        <w:t xml:space="preserve">13. Министерство использует типовые формы документов, утвержденные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0">
        <w:r>
          <w:rPr>
            <w:color w:val="0000ff"/>
            <w:sz w:val="24"/>
          </w:rPr>
          <w:t xml:space="preserve">приказом</w:t>
        </w:r>
      </w:hyperlink>
      <w:r>
        <w:rPr>
          <w:sz w:val="24"/>
        </w:rPr>
        <w:t xml:space="preserve"> Минэкономразвития России от 31.03.2021 N 151 "О типовых формах документов, используемых контрольным (надзорным) органом" (далее - Приказ Минэкономразвития России N 151).</w:t>
      </w:r>
    </w:p>
    <w:p>
      <w:pPr>
        <w:pStyle w:val="0"/>
        <w:spacing w:before="240"/>
        <w:ind w:firstLine="540"/>
        <w:jc w:val="both"/>
      </w:pPr>
      <w:r>
        <w:rPr>
          <w:sz w:val="24"/>
        </w:rPr>
        <w:t xml:space="preserve">14. Министерство вправе утверждать формы документов, используемых при осуществлении Регионального государственного контроля, не утвержденные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0">
        <w:r>
          <w:rPr>
            <w:color w:val="0000ff"/>
            <w:sz w:val="24"/>
          </w:rPr>
          <w:t xml:space="preserve">Приказом</w:t>
        </w:r>
      </w:hyperlink>
      <w:r>
        <w:rPr>
          <w:sz w:val="24"/>
        </w:rPr>
        <w:t xml:space="preserve"> Минэкономразвития России N 151.</w:t>
      </w:r>
    </w:p>
    <w:p>
      <w:pPr>
        <w:pStyle w:val="0"/>
        <w:ind w:firstLine="540"/>
        <w:jc w:val="both"/>
      </w:pPr>
      <w:r>
        <w:rPr>
          <w:sz w:val="24"/>
        </w:rPr>
      </w:r>
    </w:p>
    <w:p>
      <w:pPr>
        <w:pStyle w:val="2"/>
        <w:jc w:val="center"/>
        <w:outlineLvl w:val="1"/>
      </w:pPr>
      <w:r>
        <w:rPr>
          <w:sz w:val="24"/>
        </w:rPr>
        <w:t xml:space="preserve">IV. Управление рисками причинения вреда (ущерба)</w:t>
      </w:r>
    </w:p>
    <w:p>
      <w:pPr>
        <w:pStyle w:val="2"/>
        <w:jc w:val="center"/>
      </w:pPr>
      <w:r>
        <w:rPr>
          <w:sz w:val="24"/>
        </w:rPr>
        <w:t xml:space="preserve">охраняемым законом ценностям при организации и</w:t>
      </w:r>
    </w:p>
    <w:p>
      <w:pPr>
        <w:pStyle w:val="2"/>
        <w:jc w:val="center"/>
      </w:pPr>
      <w:r>
        <w:rPr>
          <w:sz w:val="24"/>
        </w:rPr>
        <w:t xml:space="preserve">осуществлении государственного контроля (надзора)</w:t>
      </w:r>
    </w:p>
    <w:p>
      <w:pPr>
        <w:pStyle w:val="0"/>
        <w:ind w:firstLine="540"/>
        <w:jc w:val="both"/>
      </w:pPr>
      <w:r>
        <w:rPr>
          <w:sz w:val="24"/>
        </w:rPr>
      </w:r>
    </w:p>
    <w:p>
      <w:pPr>
        <w:pStyle w:val="0"/>
        <w:ind w:firstLine="540"/>
        <w:jc w:val="both"/>
      </w:pPr>
      <w:r>
        <w:rPr>
          <w:sz w:val="24"/>
        </w:rPr>
        <w:t xml:space="preserve">15. Региональный государственный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ind w:firstLine="540"/>
        <w:jc w:val="both"/>
      </w:pPr>
      <w:r>
        <w:rPr>
          <w:sz w:val="24"/>
        </w:rPr>
        <w:t xml:space="preserve">16. Министерство при организации и осуществлении государственного контроля (надзора) определяет объекты контроля (надзора) к одной из следующих категорий риска причинения вреда (ущерба) охраняемым законом ценностям (далее - категории риска):</w:t>
      </w:r>
    </w:p>
    <w:p>
      <w:pPr>
        <w:pStyle w:val="0"/>
        <w:spacing w:before="240"/>
        <w:ind w:firstLine="540"/>
        <w:jc w:val="both"/>
      </w:pPr>
      <w:r>
        <w:rPr>
          <w:sz w:val="24"/>
        </w:rPr>
        <w:t xml:space="preserve">1) значительный риск;</w:t>
      </w:r>
    </w:p>
    <w:p>
      <w:pPr>
        <w:pStyle w:val="0"/>
        <w:spacing w:before="240"/>
        <w:ind w:firstLine="540"/>
        <w:jc w:val="both"/>
      </w:pPr>
      <w:r>
        <w:rPr>
          <w:sz w:val="24"/>
        </w:rPr>
        <w:t xml:space="preserve">2) средний риск;</w:t>
      </w:r>
    </w:p>
    <w:p>
      <w:pPr>
        <w:pStyle w:val="0"/>
        <w:spacing w:before="240"/>
        <w:ind w:firstLine="540"/>
        <w:jc w:val="both"/>
      </w:pPr>
      <w:r>
        <w:rPr>
          <w:sz w:val="24"/>
        </w:rPr>
        <w:t xml:space="preserve">3) низкий риск.</w:t>
      </w:r>
    </w:p>
    <w:p>
      <w:pPr>
        <w:pStyle w:val="0"/>
        <w:spacing w:before="240"/>
        <w:ind w:firstLine="540"/>
        <w:jc w:val="both"/>
      </w:pPr>
      <w:r>
        <w:rPr>
          <w:sz w:val="24"/>
        </w:rPr>
        <w:t xml:space="preserve">17. Отнесение объектов контроля (надзора) к категориям риска осуществляется решением Министерства, которое принимается должностными лицами Министерства (министром, а в его отсутствие - заместителем министра), путем подписания усиленной квалифицированной электронной подписью данных об объекте контроля с указанием сведений о контролируемом лице, описания объекта контроля и присвоенной категории риска в перечне объектов контроля.</w:t>
      </w:r>
    </w:p>
    <w:p>
      <w:pPr>
        <w:pStyle w:val="0"/>
        <w:spacing w:before="240"/>
        <w:ind w:firstLine="540"/>
        <w:jc w:val="both"/>
      </w:pPr>
      <w:r>
        <w:rPr>
          <w:sz w:val="24"/>
        </w:rPr>
        <w:t xml:space="preserve">Перечень объектов контроля ведется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 с учетом требований законодательства Российской Федерации об охраняемой законом тайне.</w:t>
      </w:r>
    </w:p>
    <w:p>
      <w:pPr>
        <w:pStyle w:val="0"/>
        <w:spacing w:before="240"/>
        <w:ind w:firstLine="540"/>
        <w:jc w:val="both"/>
      </w:pPr>
      <w:r>
        <w:rPr>
          <w:sz w:val="24"/>
        </w:rPr>
        <w:t xml:space="preserve">Министерство публикует часть официального сайта единого реестра видов контроля в информационно-телекоммуникационной сети "Интернет" для отображения соответствующего перечня объектов контроля (виджет) на официальном сайте Министерства в информационно-телекоммуникационной сети "Интернет".</w:t>
      </w:r>
    </w:p>
    <w:p>
      <w:pPr>
        <w:pStyle w:val="0"/>
        <w:jc w:val="both"/>
      </w:pPr>
      <w:r>
        <w:rPr>
          <w:sz w:val="24"/>
        </w:rPr>
        <w:t xml:space="preserve">(п. 17 в ред. </w:t>
      </w:r>
      <w:hyperlink r:id="rId48"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18. Утратил силу. - </w:t>
      </w:r>
      <w:hyperlink r:id="rId49"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19. Министерство в течение пяти рабочих дней со дня поступления сведений о соответствии объекта контроля (надзора) критериям риска (далее - Критерии) иной категории риска либо об изменении Критериев должно принять решение об изменении категории риска указанного объекта контроля (надзора).</w:t>
      </w:r>
    </w:p>
    <w:p>
      <w:pPr>
        <w:pStyle w:val="0"/>
        <w:jc w:val="both"/>
      </w:pPr>
      <w:r>
        <w:rPr>
          <w:sz w:val="24"/>
        </w:rPr>
        <w:t xml:space="preserve">(п. 19 в ред. </w:t>
      </w:r>
      <w:hyperlink r:id="rId50"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20. Юридическое лицо, в том числе с использованием федеральной государственной информационной системы "Единый портал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spacing w:before="240"/>
        <w:ind w:firstLine="540"/>
        <w:jc w:val="both"/>
      </w:pPr>
      <w:r>
        <w:rPr>
          <w:sz w:val="24"/>
        </w:rPr>
        <w:t xml:space="preserve">До 1 января 2030 года заявление об изменении категории риска осуществляемой ими деятельности может подаваться и рассматриваться в соответствии с </w:t>
      </w:r>
      <w:hyperlink r:id="rId5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главой 9</w:t>
        </w:r>
      </w:hyperlink>
      <w:r>
        <w:rPr>
          <w:sz w:val="24"/>
        </w:rPr>
        <w:t xml:space="preserve"> Федерального закона N 248-ФЗ и </w:t>
      </w:r>
      <w:hyperlink r:id="rId52"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8(1)</w:t>
        </w:r>
      </w:hyperlink>
      <w:r>
        <w:rPr>
          <w:sz w:val="24"/>
        </w:rPr>
        <w:t xml:space="preserve"> постановления Правительства Российской Федерации от 10.03.2022 N 336 "Об особенностях организации и осуществления государственного контроля (надзора), муниципального контроля" (далее - постановление Правительства Российской Федерации N 336).</w:t>
      </w:r>
    </w:p>
    <w:p>
      <w:pPr>
        <w:pStyle w:val="0"/>
        <w:jc w:val="both"/>
      </w:pPr>
      <w:r>
        <w:rPr>
          <w:sz w:val="24"/>
        </w:rPr>
        <w:t xml:space="preserve">(п. 20 в ред. </w:t>
      </w:r>
      <w:hyperlink r:id="rId53"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21. Утратил силу. - </w:t>
      </w:r>
      <w:hyperlink r:id="rId54"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ind w:firstLine="540"/>
        <w:jc w:val="both"/>
      </w:pPr>
      <w:r>
        <w:rPr>
          <w:sz w:val="24"/>
        </w:rPr>
      </w:r>
    </w:p>
    <w:p>
      <w:pPr>
        <w:pStyle w:val="2"/>
        <w:jc w:val="center"/>
        <w:outlineLvl w:val="1"/>
      </w:pPr>
      <w:r>
        <w:rPr>
          <w:sz w:val="24"/>
        </w:rPr>
        <w:t xml:space="preserve">V. Профилактика рисков причинения вреда</w:t>
      </w:r>
    </w:p>
    <w:p>
      <w:pPr>
        <w:pStyle w:val="2"/>
        <w:jc w:val="center"/>
      </w:pPr>
      <w:r>
        <w:rPr>
          <w:sz w:val="24"/>
        </w:rPr>
        <w:t xml:space="preserve">(ущерба) охраняемым законом ценностям</w:t>
      </w:r>
    </w:p>
    <w:p>
      <w:pPr>
        <w:pStyle w:val="0"/>
        <w:ind w:firstLine="540"/>
        <w:jc w:val="both"/>
      </w:pPr>
      <w:r>
        <w:rPr>
          <w:sz w:val="24"/>
        </w:rPr>
      </w:r>
    </w:p>
    <w:p>
      <w:pPr>
        <w:pStyle w:val="0"/>
        <w:ind w:firstLine="540"/>
        <w:jc w:val="both"/>
      </w:pPr>
      <w:r>
        <w:rPr>
          <w:sz w:val="24"/>
        </w:rPr>
        <w:t xml:space="preserve">22. Программа профилактики рисков причинения вреда (ущерба) охраняемым законом ценностям (далее - программа профилактики рисков) разрабатывается с учетом требований, установленных </w:t>
      </w:r>
      <w:hyperlink r:id="rId5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44</w:t>
        </w:r>
      </w:hyperlink>
      <w:r>
        <w:rPr>
          <w:sz w:val="24"/>
        </w:rPr>
        <w:t xml:space="preserve"> Федерального закона N 248-ФЗ, и утверждается на очередной календарный год ежегодно, не позднее 20 декабря текущего года. Утвержденная программа профилактики рисков размещается на официальном сайте Министерства в информационно-телекоммуникационной сети "Интернет" </w:t>
      </w:r>
      <w:hyperlink r:id="rId56" w:history="0">
        <w:r>
          <w:rPr>
            <w:color w:val="0000ff"/>
            <w:sz w:val="24"/>
          </w:rPr>
          <w:t xml:space="preserve">www.minstroy.nso.ru</w:t>
        </w:r>
      </w:hyperlink>
      <w:r>
        <w:rPr>
          <w:sz w:val="24"/>
        </w:rPr>
        <w:t xml:space="preserve"> (далее - официальный сайт Министерства) в течение пяти дней со дня утверждения.</w:t>
      </w:r>
    </w:p>
    <w:p>
      <w:pPr>
        <w:pStyle w:val="0"/>
        <w:spacing w:before="240"/>
        <w:ind w:firstLine="540"/>
        <w:jc w:val="both"/>
      </w:pPr>
      <w:r>
        <w:rPr>
          <w:sz w:val="24"/>
        </w:rPr>
        <w:t xml:space="preserve">23. При осуществлении Регионального государственного контроля Министерством проводятся следующие виды профилактических мероприятий:</w:t>
      </w:r>
    </w:p>
    <w:p>
      <w:pPr>
        <w:pStyle w:val="0"/>
        <w:spacing w:before="240"/>
        <w:ind w:firstLine="540"/>
        <w:jc w:val="both"/>
      </w:pPr>
      <w:r>
        <w:rPr>
          <w:sz w:val="24"/>
        </w:rPr>
        <w:t xml:space="preserve">1) информирование;</w:t>
      </w:r>
    </w:p>
    <w:p>
      <w:pPr>
        <w:pStyle w:val="0"/>
        <w:spacing w:before="240"/>
        <w:ind w:firstLine="540"/>
        <w:jc w:val="both"/>
      </w:pPr>
      <w:r>
        <w:rPr>
          <w:sz w:val="24"/>
        </w:rPr>
        <w:t xml:space="preserve">2) обобщение правоприменительной практики;</w:t>
      </w:r>
    </w:p>
    <w:p>
      <w:pPr>
        <w:pStyle w:val="0"/>
        <w:spacing w:before="240"/>
        <w:ind w:firstLine="540"/>
        <w:jc w:val="both"/>
      </w:pPr>
      <w:r>
        <w:rPr>
          <w:sz w:val="24"/>
        </w:rPr>
        <w:t xml:space="preserve">3) объявление предостережения;</w:t>
      </w:r>
    </w:p>
    <w:p>
      <w:pPr>
        <w:pStyle w:val="0"/>
        <w:spacing w:before="240"/>
        <w:ind w:firstLine="540"/>
        <w:jc w:val="both"/>
      </w:pPr>
      <w:r>
        <w:rPr>
          <w:sz w:val="24"/>
        </w:rPr>
        <w:t xml:space="preserve">4) консультирование;</w:t>
      </w:r>
    </w:p>
    <w:p>
      <w:pPr>
        <w:pStyle w:val="0"/>
        <w:spacing w:before="240"/>
        <w:ind w:firstLine="540"/>
        <w:jc w:val="both"/>
      </w:pPr>
      <w:r>
        <w:rPr>
          <w:sz w:val="24"/>
        </w:rPr>
        <w:t xml:space="preserve">5) профилактический визит.</w:t>
      </w:r>
    </w:p>
    <w:p>
      <w:pPr>
        <w:pStyle w:val="0"/>
        <w:spacing w:before="240"/>
        <w:ind w:firstLine="540"/>
        <w:jc w:val="both"/>
      </w:pPr>
      <w:r>
        <w:rPr>
          <w:sz w:val="24"/>
        </w:rPr>
        <w:t xml:space="preserve">24. Министерство может проводить профилактические мероприятия, не предусмотренные программой профилактики рисков.</w:t>
      </w:r>
    </w:p>
    <w:p>
      <w:pPr>
        <w:pStyle w:val="0"/>
        <w:spacing w:before="240"/>
        <w:ind w:firstLine="540"/>
        <w:jc w:val="both"/>
      </w:pPr>
      <w:r>
        <w:rPr>
          <w:sz w:val="24"/>
        </w:rPr>
        <w:t xml:space="preserve">25. Министерство при проведении профилактических мероприятий осуществляет взаимодействие с гражданами, организациями только в случаях, установленных Федеральным </w:t>
      </w:r>
      <w:hyperlink r:id="rId5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Если иное не установлено Федеральным законом N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(п. 25 в ред. </w:t>
      </w:r>
      <w:hyperlink r:id="rId58"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26. Министерство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официальном сайте Министерства и иными способами в соответствии со </w:t>
      </w:r>
      <w:hyperlink r:id="rId5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46</w:t>
        </w:r>
      </w:hyperlink>
      <w:r>
        <w:rPr>
          <w:sz w:val="24"/>
        </w:rPr>
        <w:t xml:space="preserve"> Федерального закона N 248-ФЗ.</w:t>
      </w:r>
    </w:p>
    <w:p>
      <w:pPr>
        <w:pStyle w:val="0"/>
        <w:spacing w:before="240"/>
        <w:ind w:firstLine="540"/>
        <w:jc w:val="both"/>
      </w:pPr>
      <w:r>
        <w:rPr>
          <w:sz w:val="24"/>
        </w:rPr>
        <w:t xml:space="preserve">27. На официальном сайте Министерства размещаются и поддерживаются в актуальном состоянии:</w:t>
      </w:r>
    </w:p>
    <w:bookmarkStart w:id="120" w:name="P120"/>
    <w:bookmarkEnd w:id="120"/>
    <w:p>
      <w:pPr>
        <w:pStyle w:val="0"/>
        <w:spacing w:before="240"/>
        <w:ind w:firstLine="540"/>
        <w:jc w:val="both"/>
      </w:pPr>
      <w:r>
        <w:rPr>
          <w:sz w:val="24"/>
        </w:rPr>
        <w:t xml:space="preserve">1) тексты нормативных правовых актов, регулирующих организацию и осуществление Регионального государственного контроля;</w:t>
      </w:r>
    </w:p>
    <w:p>
      <w:pPr>
        <w:pStyle w:val="0"/>
        <w:spacing w:before="240"/>
        <w:ind w:firstLine="540"/>
        <w:jc w:val="both"/>
      </w:pPr>
      <w:r>
        <w:rPr>
          <w:sz w:val="24"/>
        </w:rPr>
        <w:t xml:space="preserve">2) сведения об изменениях, внесенных в нормативные правовые акты, указанные в </w:t>
      </w:r>
      <w:hyperlink w:tooltip="1) тексты нормативных правовых актов, регулирующих организацию и осуществление Регионального государственного контроля;" w:anchor="P120" w:history="0">
        <w:r>
          <w:rPr>
            <w:color w:val="0000ff"/>
            <w:sz w:val="24"/>
          </w:rPr>
          <w:t xml:space="preserve">подпункте 1</w:t>
        </w:r>
      </w:hyperlink>
      <w:r>
        <w:rPr>
          <w:sz w:val="24"/>
        </w:rPr>
        <w:t xml:space="preserve"> настоящего пункта, о сроках и порядке их вступления в силу;</w:t>
      </w:r>
    </w:p>
    <w:p>
      <w:pPr>
        <w:pStyle w:val="0"/>
        <w:spacing w:before="240"/>
        <w:ind w:firstLine="540"/>
        <w:jc w:val="both"/>
      </w:pPr>
      <w:r>
        <w:rPr>
          <w:sz w:val="24"/>
        </w:rPr>
        <w:t xml:space="preserve">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Регионального государственного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ind w:firstLine="540"/>
        <w:jc w:val="both"/>
      </w:pPr>
      <w:r>
        <w:rPr>
          <w:sz w:val="24"/>
        </w:rPr>
        <w:t xml:space="preserve">4) руководства по соблюдению обязательных требований, разработанные и утвержденные в соответствии с Федеральным </w:t>
      </w:r>
      <w:hyperlink r:id="rId60" w:tooltip="Федеральный закон от 31.07.2020 N 247-ФЗ (ред. от 09.04.2026) &quot;Об обязательных требованиях в Российской Федерации&quot; {КонсультантПлюс}" w:history="0">
        <w:r>
          <w:rPr>
            <w:color w:val="0000ff"/>
            <w:sz w:val="24"/>
          </w:rPr>
          <w:t xml:space="preserve">законом</w:t>
        </w:r>
      </w:hyperlink>
      <w:r>
        <w:rPr>
          <w:sz w:val="24"/>
        </w:rPr>
        <w:t xml:space="preserve"> от 31.07.2020 N 247-ФЗ "Об обязательных требованиях в Российской Федерации";</w:t>
      </w:r>
    </w:p>
    <w:p>
      <w:pPr>
        <w:pStyle w:val="0"/>
        <w:spacing w:before="240"/>
        <w:ind w:firstLine="540"/>
        <w:jc w:val="both"/>
      </w:pPr>
      <w:r>
        <w:rPr>
          <w:sz w:val="24"/>
        </w:rPr>
        <w:t xml:space="preserve">5) перечень индикаторов риска нарушения обязательных требований, порядок отнесения объектов контроля к категориям риска;</w:t>
      </w:r>
    </w:p>
    <w:p>
      <w:pPr>
        <w:pStyle w:val="0"/>
        <w:spacing w:before="240"/>
        <w:ind w:firstLine="540"/>
        <w:jc w:val="both"/>
      </w:pPr>
      <w:r>
        <w:rPr>
          <w:sz w:val="24"/>
        </w:rPr>
        <w:t xml:space="preserve">6) программа профилактики рисков причинения вреда;</w:t>
      </w:r>
    </w:p>
    <w:p>
      <w:pPr>
        <w:pStyle w:val="0"/>
        <w:spacing w:before="240"/>
        <w:ind w:firstLine="540"/>
        <w:jc w:val="both"/>
      </w:pPr>
      <w:r>
        <w:rPr>
          <w:sz w:val="24"/>
        </w:rPr>
        <w:t xml:space="preserve">7) исчерпывающий перечень сведений, которые могут запрашиваться Министерством у контролируемых лиц;</w:t>
      </w:r>
    </w:p>
    <w:p>
      <w:pPr>
        <w:pStyle w:val="0"/>
        <w:spacing w:before="240"/>
        <w:ind w:firstLine="540"/>
        <w:jc w:val="both"/>
      </w:pPr>
      <w:r>
        <w:rPr>
          <w:sz w:val="24"/>
        </w:rPr>
        <w:t xml:space="preserve">8) сведения о способах получения консультаций по вопросам соблюдения обязательных требований;</w:t>
      </w:r>
    </w:p>
    <w:p>
      <w:pPr>
        <w:pStyle w:val="0"/>
        <w:spacing w:before="240"/>
        <w:ind w:firstLine="540"/>
        <w:jc w:val="both"/>
      </w:pPr>
      <w:r>
        <w:rPr>
          <w:sz w:val="24"/>
        </w:rPr>
        <w:t xml:space="preserve">9) сведения о порядке досудебного обжалования решений Министерства, действий (бездействия) его должностных лиц;</w:t>
      </w:r>
    </w:p>
    <w:p>
      <w:pPr>
        <w:pStyle w:val="0"/>
        <w:spacing w:before="240"/>
        <w:ind w:firstLine="540"/>
        <w:jc w:val="both"/>
      </w:pPr>
      <w:r>
        <w:rPr>
          <w:sz w:val="24"/>
        </w:rPr>
        <w:t xml:space="preserve">10) доклады, содержащие результаты обобщения правоприменительной практики Министерства;</w:t>
      </w:r>
    </w:p>
    <w:p>
      <w:pPr>
        <w:pStyle w:val="0"/>
        <w:spacing w:before="240"/>
        <w:ind w:firstLine="540"/>
        <w:jc w:val="both"/>
      </w:pPr>
      <w:r>
        <w:rPr>
          <w:sz w:val="24"/>
        </w:rPr>
        <w:t xml:space="preserve">11) ежегодные доклады о Региональном государственном контроле;</w:t>
      </w:r>
    </w:p>
    <w:p>
      <w:pPr>
        <w:pStyle w:val="0"/>
        <w:spacing w:before="240"/>
        <w:ind w:firstLine="540"/>
        <w:jc w:val="both"/>
      </w:pPr>
      <w:r>
        <w:rPr>
          <w:sz w:val="24"/>
        </w:rPr>
        <w:t xml:space="preserve">12) иные сведения, предусмотренные нормативными правовыми актами Российской Федерации, нормативными правовыми актами Новосибирской области и (или) программами профилактики рисков.</w:t>
      </w:r>
    </w:p>
    <w:p>
      <w:pPr>
        <w:pStyle w:val="0"/>
        <w:spacing w:before="240"/>
        <w:ind w:firstLine="540"/>
        <w:jc w:val="both"/>
      </w:pPr>
      <w:r>
        <w:rPr>
          <w:sz w:val="24"/>
        </w:rPr>
        <w:t xml:space="preserve">28. Обобщение правоприменительной практики проводится в соответствии со </w:t>
      </w:r>
      <w:hyperlink r:id="rId6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47</w:t>
        </w:r>
      </w:hyperlink>
      <w:r>
        <w:rPr>
          <w:sz w:val="24"/>
        </w:rPr>
        <w:t xml:space="preserve"> Федерального закона N 248-ФЗ.</w:t>
      </w:r>
    </w:p>
    <w:p>
      <w:pPr>
        <w:pStyle w:val="0"/>
        <w:spacing w:before="240"/>
        <w:ind w:firstLine="540"/>
        <w:jc w:val="both"/>
      </w:pPr>
      <w:r>
        <w:rPr>
          <w:sz w:val="24"/>
        </w:rPr>
        <w:t xml:space="preserve">29. 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Министерства (далее - доклад о правоприменительной практике).</w:t>
      </w:r>
    </w:p>
    <w:p>
      <w:pPr>
        <w:pStyle w:val="0"/>
        <w:spacing w:before="240"/>
        <w:ind w:firstLine="540"/>
        <w:jc w:val="both"/>
      </w:pPr>
      <w:r>
        <w:rPr>
          <w:sz w:val="24"/>
        </w:rPr>
        <w:t xml:space="preserve">30. Доклад о правоприменительной практике готовится ежегодно, не позднее 1 апреля года, следующего за отчетным, и размещается после его утверждения министром, а в его отсутствие - заместителем министра в течение 5 рабочих дней на официальном сайте Министерства.</w:t>
      </w:r>
    </w:p>
    <w:bookmarkStart w:id="135" w:name="P135"/>
    <w:bookmarkEnd w:id="135"/>
    <w:p>
      <w:pPr>
        <w:pStyle w:val="0"/>
        <w:spacing w:before="240"/>
        <w:ind w:firstLine="540"/>
        <w:jc w:val="both"/>
      </w:pPr>
      <w:r>
        <w:rPr>
          <w:sz w:val="24"/>
        </w:rPr>
        <w:t xml:space="preserve">31. В случае наличия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pPr>
        <w:pStyle w:val="0"/>
        <w:spacing w:before="240"/>
        <w:ind w:firstLine="540"/>
        <w:jc w:val="both"/>
      </w:pPr>
      <w:r>
        <w:rPr>
          <w:sz w:val="24"/>
        </w:rPr>
        <w:t xml:space="preserve">32. Предостережение объявляется и направляется контролируемому лицу в порядке, предусмотренном Федеральным </w:t>
      </w:r>
      <w:hyperlink r:id="rId6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(п. 32 в ред. </w:t>
      </w:r>
      <w:hyperlink r:id="rId63"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33. Решение об объявлении предостережения принимается министром, а в его отсутствие - заместителем министра. Предостережение направляется не позднее 30 календарных дней со дня получения должностным лицом контрольного (надзорного) органа сведений, указанных в </w:t>
      </w:r>
      <w:hyperlink w:tooltip="31. В случае наличия у Министерств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далее - предост..." w:anchor="P135" w:history="0">
        <w:r>
          <w:rPr>
            <w:color w:val="0000ff"/>
            <w:sz w:val="24"/>
          </w:rPr>
          <w:t xml:space="preserve">пункте 31</w:t>
        </w:r>
      </w:hyperlink>
      <w:r>
        <w:rPr>
          <w:sz w:val="24"/>
        </w:rPr>
        <w:t xml:space="preserve"> Положения.</w:t>
      </w:r>
    </w:p>
    <w:p>
      <w:pPr>
        <w:pStyle w:val="0"/>
        <w:spacing w:before="240"/>
        <w:ind w:firstLine="540"/>
        <w:jc w:val="both"/>
      </w:pPr>
      <w:r>
        <w:rPr>
          <w:sz w:val="24"/>
        </w:rPr>
        <w:t xml:space="preserve">34. Контролируемое лицо вправе после получения предостережения подать в Министерство возражение в отношении указанного предостережения не позднее 30 календарных дней со дня получения им предостережения, в котором указываются:</w:t>
      </w:r>
    </w:p>
    <w:p>
      <w:pPr>
        <w:pStyle w:val="0"/>
        <w:spacing w:before="240"/>
        <w:ind w:firstLine="540"/>
        <w:jc w:val="both"/>
      </w:pPr>
      <w:r>
        <w:rPr>
          <w:sz w:val="24"/>
        </w:rPr>
        <w:t xml:space="preserve">1) наименование юридического лица;</w:t>
      </w:r>
    </w:p>
    <w:p>
      <w:pPr>
        <w:pStyle w:val="0"/>
        <w:spacing w:before="240"/>
        <w:ind w:firstLine="540"/>
        <w:jc w:val="both"/>
      </w:pPr>
      <w:r>
        <w:rPr>
          <w:sz w:val="24"/>
        </w:rPr>
        <w:t xml:space="preserve">2) идентификационный номер налогоплательщика - юридического лица;</w:t>
      </w:r>
    </w:p>
    <w:p>
      <w:pPr>
        <w:pStyle w:val="0"/>
        <w:spacing w:before="240"/>
        <w:ind w:firstLine="540"/>
        <w:jc w:val="both"/>
      </w:pPr>
      <w:r>
        <w:rPr>
          <w:sz w:val="24"/>
        </w:rPr>
        <w:t xml:space="preserve">3) дата и номер предостережения, направленного в адрес юридического лица;</w:t>
      </w:r>
    </w:p>
    <w:p>
      <w:pPr>
        <w:pStyle w:val="0"/>
        <w:spacing w:before="240"/>
        <w:ind w:firstLine="540"/>
        <w:jc w:val="both"/>
      </w:pPr>
      <w:r>
        <w:rPr>
          <w:sz w:val="24"/>
        </w:rPr>
        <w:t xml:space="preserve">4) обоснование позиции в отношении указанных в предостережении действий (бездействия) юридического лица, которые приводят или могут привести к нарушению обязательных требований.</w:t>
      </w:r>
    </w:p>
    <w:p>
      <w:pPr>
        <w:pStyle w:val="0"/>
        <w:spacing w:before="240"/>
        <w:ind w:firstLine="540"/>
        <w:jc w:val="both"/>
      </w:pPr>
      <w:r>
        <w:rPr>
          <w:sz w:val="24"/>
        </w:rPr>
        <w:t xml:space="preserve">35. Возражения подаются контролируемым лицом в Министерство непосредственно либо направляются в бумажном виде почтовым отправлением либо в виде электронного документа, подписанного в соответствии с </w:t>
      </w:r>
      <w:hyperlink r:id="rId6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6 статьи 21</w:t>
        </w:r>
      </w:hyperlink>
      <w:r>
        <w:rPr>
          <w:sz w:val="24"/>
        </w:rPr>
        <w:t xml:space="preserve"> Федерального закона N 248-ФЗ, на указанный в предостережении адрес электронной почты либо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(п. 35 в ред. </w:t>
      </w:r>
      <w:hyperlink r:id="rId65"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36. Возражение рассматривается в течение 20 рабочих дней со дня его регистрации в Министерстве.</w:t>
      </w:r>
    </w:p>
    <w:p>
      <w:pPr>
        <w:pStyle w:val="0"/>
        <w:spacing w:before="240"/>
        <w:ind w:firstLine="540"/>
        <w:jc w:val="both"/>
      </w:pPr>
      <w:r>
        <w:rPr>
          <w:sz w:val="24"/>
        </w:rPr>
        <w:t xml:space="preserve">37. По результатам рассмотрения возражения Министерством принимается одно из следующих решений:</w:t>
      </w:r>
    </w:p>
    <w:p>
      <w:pPr>
        <w:pStyle w:val="0"/>
        <w:spacing w:before="240"/>
        <w:ind w:firstLine="540"/>
        <w:jc w:val="both"/>
      </w:pPr>
      <w:r>
        <w:rPr>
          <w:sz w:val="24"/>
        </w:rPr>
        <w:t xml:space="preserve">1) оставление предостережения без изменения;</w:t>
      </w:r>
    </w:p>
    <w:p>
      <w:pPr>
        <w:pStyle w:val="0"/>
        <w:spacing w:before="240"/>
        <w:ind w:firstLine="540"/>
        <w:jc w:val="both"/>
      </w:pPr>
      <w:r>
        <w:rPr>
          <w:sz w:val="24"/>
        </w:rPr>
        <w:t xml:space="preserve">2) отмена предостережения.</w:t>
      </w:r>
    </w:p>
    <w:p>
      <w:pPr>
        <w:pStyle w:val="0"/>
        <w:spacing w:before="240"/>
        <w:ind w:firstLine="540"/>
        <w:jc w:val="both"/>
      </w:pPr>
      <w:r>
        <w:rPr>
          <w:sz w:val="24"/>
        </w:rPr>
        <w:t xml:space="preserve">Мотивированный ответ о результатах рассмотрения возражения направляется способом, указанным контролируемым лицом, не позднее трех рабочих дней после принятия решения по результатам его рассмотрения.</w:t>
      </w:r>
    </w:p>
    <w:p>
      <w:pPr>
        <w:pStyle w:val="0"/>
        <w:spacing w:before="240"/>
        <w:ind w:firstLine="540"/>
        <w:jc w:val="both"/>
      </w:pPr>
      <w:r>
        <w:rPr>
          <w:sz w:val="24"/>
        </w:rPr>
        <w:t xml:space="preserve">38. При отсутствии возражений контролируемое лицо в указанный в предостережении срок вправе направить в контрольный (надзорный) орган уведомление, в котором указываются:</w:t>
      </w:r>
    </w:p>
    <w:p>
      <w:pPr>
        <w:pStyle w:val="0"/>
        <w:spacing w:before="240"/>
        <w:ind w:firstLine="540"/>
        <w:jc w:val="both"/>
      </w:pPr>
      <w:r>
        <w:rPr>
          <w:sz w:val="24"/>
        </w:rPr>
        <w:t xml:space="preserve">1) наименование юридического лица;</w:t>
      </w:r>
    </w:p>
    <w:p>
      <w:pPr>
        <w:pStyle w:val="0"/>
        <w:spacing w:before="240"/>
        <w:ind w:firstLine="540"/>
        <w:jc w:val="both"/>
      </w:pPr>
      <w:r>
        <w:rPr>
          <w:sz w:val="24"/>
        </w:rPr>
        <w:t xml:space="preserve">2) идентификационный номер налогоплательщика - юридического лица;</w:t>
      </w:r>
    </w:p>
    <w:p>
      <w:pPr>
        <w:pStyle w:val="0"/>
        <w:spacing w:before="240"/>
        <w:ind w:firstLine="540"/>
        <w:jc w:val="both"/>
      </w:pPr>
      <w:r>
        <w:rPr>
          <w:sz w:val="24"/>
        </w:rPr>
        <w:t xml:space="preserve">3) дата и номер предостережения, направленного в адрес контролируемого лица;</w:t>
      </w:r>
    </w:p>
    <w:p>
      <w:pPr>
        <w:pStyle w:val="0"/>
        <w:spacing w:before="240"/>
        <w:ind w:firstLine="540"/>
        <w:jc w:val="both"/>
      </w:pPr>
      <w:r>
        <w:rPr>
          <w:sz w:val="24"/>
        </w:rPr>
        <w:t xml:space="preserve">4) сведения о принятых по результатам рассмотрения предостережения мерах по обеспечению соблюдения обязательных требований.</w:t>
      </w:r>
    </w:p>
    <w:p>
      <w:pPr>
        <w:pStyle w:val="0"/>
        <w:spacing w:before="240"/>
        <w:ind w:firstLine="540"/>
        <w:jc w:val="both"/>
      </w:pPr>
      <w:r>
        <w:rPr>
          <w:sz w:val="24"/>
        </w:rPr>
        <w:t xml:space="preserve">39. Уведомление представляется контролируемым лицом в Министерство непосредственно либо направляется в бумажном виде почтовым отправлением либо в виде электронного документа, подписанного в соответствии с </w:t>
      </w:r>
      <w:hyperlink r:id="rId6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6 статьи 21</w:t>
        </w:r>
      </w:hyperlink>
      <w:r>
        <w:rPr>
          <w:sz w:val="24"/>
        </w:rPr>
        <w:t xml:space="preserve"> Федерального закона N 248-ФЗ, на указанный в предостережении адрес электронной почты.</w:t>
      </w:r>
    </w:p>
    <w:p>
      <w:pPr>
        <w:pStyle w:val="0"/>
        <w:spacing w:before="240"/>
        <w:ind w:firstLine="540"/>
        <w:jc w:val="both"/>
      </w:pPr>
      <w:r>
        <w:rPr>
          <w:sz w:val="24"/>
        </w:rPr>
        <w:t xml:space="preserve">40. Объявленные предостережения, включая уведомления, результаты рассмотрения возражений на объявленные предостережения подлежат учету в журнале учета профилактических мероприятий, ведение которого может осуществляться в электронной форме, а соответствующие данные учета используются для проведения иных профилактических и контрольных (надзорных) мероприятий.</w:t>
      </w:r>
    </w:p>
    <w:p>
      <w:pPr>
        <w:pStyle w:val="0"/>
        <w:spacing w:before="240"/>
        <w:ind w:firstLine="540"/>
        <w:jc w:val="both"/>
      </w:pPr>
      <w:r>
        <w:rPr>
          <w:sz w:val="24"/>
        </w:rPr>
        <w:t xml:space="preserve">41. Должностное лицо Министерства по обращениям контролируемых лиц и их представителей осуществляет консультирование в соответствии со </w:t>
      </w:r>
      <w:hyperlink r:id="rId6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50</w:t>
        </w:r>
      </w:hyperlink>
      <w:r>
        <w:rPr>
          <w:sz w:val="24"/>
        </w:rPr>
        <w:t xml:space="preserve"> Федерального закона N 248-ФЗ.</w:t>
      </w:r>
    </w:p>
    <w:p>
      <w:pPr>
        <w:pStyle w:val="0"/>
        <w:spacing w:before="240"/>
        <w:ind w:firstLine="540"/>
        <w:jc w:val="both"/>
      </w:pPr>
      <w:r>
        <w:rPr>
          <w:sz w:val="24"/>
        </w:rPr>
        <w:t xml:space="preserve">42. Консультирование, в том числе письменное консультирование, проводится по вопросам, связанным с организацией и осуществлением Регионального государственного контроля, порядком обжалования решений Министерства, действий (бездействия) его должностных лиц, порядком подачи возражений на предостережение о недопустимости нарушения обязательных требований.</w:t>
      </w:r>
    </w:p>
    <w:p>
      <w:pPr>
        <w:pStyle w:val="0"/>
        <w:spacing w:before="240"/>
        <w:ind w:firstLine="540"/>
        <w:jc w:val="both"/>
      </w:pPr>
      <w:r>
        <w:rPr>
          <w:sz w:val="24"/>
        </w:rPr>
        <w:t xml:space="preserve">43. Консультирование может осуществляться должностным лицом Министерства посредством личного обращения, телефонной связи, электронной почты, видео-конференц-связи, при получении письменного запроса - в письменной форме в порядке, установленном Федеральным </w:t>
      </w:r>
      <w:hyperlink r:id="rId68" w:tooltip="Федеральный закон от 02.05.2006 N 59-ФЗ (ред. от 28.12.2024) &quot;О порядке рассмотрения обращений граждан Российской Федерации&quot; {КонсультантПлюс}" w:history="0">
        <w:r>
          <w:rPr>
            <w:color w:val="0000ff"/>
            <w:sz w:val="24"/>
          </w:rPr>
          <w:t xml:space="preserve">законом</w:t>
        </w:r>
      </w:hyperlink>
      <w:r>
        <w:rPr>
          <w:sz w:val="24"/>
        </w:rPr>
        <w:t xml:space="preserve"> от 02.05.2006 N 59-ФЗ "О порядке рассмотрения обращения граждан Российской Федерации", а также в ходе проведения профилактического мероприятия, контрольного (надзорного) мероприятия с учетом особенностей, предусмотренных </w:t>
      </w:r>
      <w:hyperlink r:id="rId69"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8(2)</w:t>
        </w:r>
      </w:hyperlink>
      <w:r>
        <w:rPr>
          <w:sz w:val="24"/>
        </w:rPr>
        <w:t xml:space="preserve"> постановления Правительства Российской Федерации N 336.</w:t>
      </w:r>
    </w:p>
    <w:p>
      <w:pPr>
        <w:pStyle w:val="0"/>
        <w:jc w:val="both"/>
      </w:pPr>
      <w:r>
        <w:rPr>
          <w:sz w:val="24"/>
        </w:rPr>
        <w:t xml:space="preserve">(в ред. </w:t>
      </w:r>
      <w:hyperlink r:id="rId70" w:tooltip="Постановление Правительства Новосибирской области от 23.09.2024 N 432-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23.09.2024 N 432-п)</w:t>
      </w:r>
    </w:p>
    <w:p>
      <w:pPr>
        <w:pStyle w:val="0"/>
        <w:spacing w:before="240"/>
        <w:ind w:firstLine="540"/>
        <w:jc w:val="both"/>
      </w:pPr>
      <w:r>
        <w:rPr>
          <w:sz w:val="24"/>
        </w:rPr>
        <w:t xml:space="preserve">44. По итогам консультирования информация в письменной форме контролируемым лицам и их представителям не предоставляется.</w:t>
      </w:r>
    </w:p>
    <w:p>
      <w:pPr>
        <w:pStyle w:val="0"/>
        <w:spacing w:before="240"/>
        <w:ind w:firstLine="540"/>
        <w:jc w:val="both"/>
      </w:pPr>
      <w:r>
        <w:rPr>
          <w:sz w:val="24"/>
        </w:rPr>
        <w:t xml:space="preserve">В случае поступления от контролируемого лица запроса о предоставлении письменного ответа ответ на такой запрос направляется в сроки, установленные Федеральным </w:t>
      </w:r>
      <w:hyperlink r:id="rId71" w:tooltip="Федеральный закон от 02.05.2006 N 59-ФЗ (ред. от 28.12.2024) &quot;О порядке рассмотрения обращений граждан Российской Федерации&quot; {КонсультантПлюс}" w:history="0">
        <w:r>
          <w:rPr>
            <w:color w:val="0000ff"/>
            <w:sz w:val="24"/>
          </w:rPr>
          <w:t xml:space="preserve">законом</w:t>
        </w:r>
      </w:hyperlink>
      <w:r>
        <w:rPr>
          <w:sz w:val="24"/>
        </w:rPr>
        <w:t xml:space="preserve"> от 02.05.2006 N 59-ФЗ "О порядке рассмотрения обращений граждан Российской Федерации".</w:t>
      </w:r>
    </w:p>
    <w:p>
      <w:pPr>
        <w:pStyle w:val="0"/>
        <w:spacing w:before="240"/>
        <w:ind w:firstLine="540"/>
        <w:jc w:val="both"/>
      </w:pPr>
      <w:r>
        <w:rPr>
          <w:sz w:val="24"/>
        </w:rPr>
        <w:t xml:space="preserve">45.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Министерства, иных участников контрольного (надзорного) мероприятия.</w:t>
      </w:r>
    </w:p>
    <w:p>
      <w:pPr>
        <w:pStyle w:val="0"/>
        <w:spacing w:before="240"/>
        <w:ind w:firstLine="540"/>
        <w:jc w:val="both"/>
      </w:pPr>
      <w:r>
        <w:rPr>
          <w:sz w:val="24"/>
        </w:rPr>
        <w:t xml:space="preserve">46. Информация, ставшая известной должностному лицу Министерства в ходе консультирования, не может использоваться им в целях оценки деятельности контролируемого лица по вопросам соблюдения обязательных требований.</w:t>
      </w:r>
    </w:p>
    <w:p>
      <w:pPr>
        <w:pStyle w:val="0"/>
        <w:spacing w:before="240"/>
        <w:ind w:firstLine="540"/>
        <w:jc w:val="both"/>
      </w:pPr>
      <w:r>
        <w:rPr>
          <w:sz w:val="24"/>
        </w:rPr>
        <w:t xml:space="preserve">47. В случае поступления в Министерство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Министерства в информационно-телекоммуникационной сети "Интернет" письменного разъяснения, подписанного министром, а в его отсутствие - заместителем министра.</w:t>
      </w:r>
    </w:p>
    <w:p>
      <w:pPr>
        <w:pStyle w:val="0"/>
        <w:spacing w:before="240"/>
        <w:ind w:firstLine="540"/>
        <w:jc w:val="both"/>
      </w:pPr>
      <w:r>
        <w:rPr>
          <w:sz w:val="24"/>
        </w:rPr>
        <w:t xml:space="preserve">48. Профилактический визит проводится в соответствии со </w:t>
      </w:r>
      <w:hyperlink r:id="rId7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статьями 52</w:t>
        </w:r>
      </w:hyperlink>
      <w:r>
        <w:rPr>
          <w:sz w:val="24"/>
        </w:rPr>
        <w:t xml:space="preserve">, </w:t>
      </w:r>
      <w:hyperlink r:id="rId7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52.1</w:t>
        </w:r>
      </w:hyperlink>
      <w:r>
        <w:rPr>
          <w:sz w:val="24"/>
        </w:rPr>
        <w:t xml:space="preserve">, </w:t>
      </w:r>
      <w:hyperlink r:id="rId7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52.2</w:t>
        </w:r>
      </w:hyperlink>
      <w:r>
        <w:rPr>
          <w:sz w:val="24"/>
        </w:rPr>
        <w:t xml:space="preserve"> Федерального закона N 248-ФЗ.</w:t>
      </w:r>
    </w:p>
    <w:p>
      <w:pPr>
        <w:pStyle w:val="0"/>
        <w:spacing w:before="240"/>
        <w:ind w:firstLine="540"/>
        <w:jc w:val="both"/>
      </w:pPr>
      <w:r>
        <w:rPr>
          <w:sz w:val="24"/>
        </w:rPr>
        <w:t xml:space="preserve">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jc w:val="both"/>
      </w:pPr>
      <w:r>
        <w:rPr>
          <w:sz w:val="24"/>
        </w:rPr>
        <w:t xml:space="preserve">(п. 48 в ред. </w:t>
      </w:r>
      <w:hyperlink r:id="rId75"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49. Обязательный профилактический визит проводится в соответствии со </w:t>
      </w:r>
      <w:hyperlink r:id="rId7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52.1</w:t>
        </w:r>
      </w:hyperlink>
      <w:r>
        <w:rPr>
          <w:sz w:val="24"/>
        </w:rPr>
        <w:t xml:space="preserve"> Федерального закона N 248-ФЗ.</w:t>
      </w:r>
    </w:p>
    <w:p>
      <w:pPr>
        <w:pStyle w:val="0"/>
        <w:jc w:val="both"/>
      </w:pPr>
      <w:r>
        <w:rPr>
          <w:sz w:val="24"/>
        </w:rPr>
        <w:t xml:space="preserve">(п. 49 в ред. </w:t>
      </w:r>
      <w:hyperlink r:id="rId77"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50. Профилактический визит по инициативе контролируемого лица проводится в соответствии со </w:t>
      </w:r>
      <w:hyperlink r:id="rId7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52.2</w:t>
        </w:r>
      </w:hyperlink>
      <w:r>
        <w:rPr>
          <w:sz w:val="24"/>
        </w:rPr>
        <w:t xml:space="preserve"> Федерального закона N 248-ФЗ с учетом особенностей, предусмотренных </w:t>
      </w:r>
      <w:hyperlink r:id="rId79"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8(2)</w:t>
        </w:r>
      </w:hyperlink>
      <w:r>
        <w:rPr>
          <w:sz w:val="24"/>
        </w:rPr>
        <w:t xml:space="preserve"> постановления Правительства Российской Федерации N 336.</w:t>
      </w:r>
    </w:p>
    <w:p>
      <w:pPr>
        <w:pStyle w:val="0"/>
        <w:jc w:val="both"/>
      </w:pPr>
      <w:r>
        <w:rPr>
          <w:sz w:val="24"/>
        </w:rPr>
        <w:t xml:space="preserve">(п. 50 в ред. </w:t>
      </w:r>
      <w:hyperlink r:id="rId80"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50.1. Утратил силу. - </w:t>
      </w:r>
      <w:hyperlink r:id="rId81"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ind w:firstLine="540"/>
        <w:jc w:val="both"/>
      </w:pPr>
      <w:r>
        <w:rPr>
          <w:sz w:val="24"/>
        </w:rPr>
      </w:r>
    </w:p>
    <w:p>
      <w:pPr>
        <w:pStyle w:val="2"/>
        <w:jc w:val="center"/>
        <w:outlineLvl w:val="1"/>
      </w:pPr>
      <w:r>
        <w:rPr>
          <w:sz w:val="24"/>
        </w:rPr>
        <w:t xml:space="preserve">VI. Осуществление Регионального</w:t>
      </w:r>
    </w:p>
    <w:p>
      <w:pPr>
        <w:pStyle w:val="2"/>
        <w:jc w:val="center"/>
      </w:pPr>
      <w:r>
        <w:rPr>
          <w:sz w:val="24"/>
        </w:rPr>
        <w:t xml:space="preserve">государственного контроля (надзора)</w:t>
      </w:r>
    </w:p>
    <w:p>
      <w:pPr>
        <w:pStyle w:val="0"/>
        <w:ind w:firstLine="540"/>
        <w:jc w:val="both"/>
      </w:pPr>
      <w:r>
        <w:rPr>
          <w:sz w:val="24"/>
        </w:rPr>
      </w:r>
    </w:p>
    <w:p>
      <w:pPr>
        <w:pStyle w:val="0"/>
        <w:ind w:firstLine="540"/>
        <w:jc w:val="both"/>
      </w:pPr>
      <w:r>
        <w:rPr>
          <w:sz w:val="24"/>
        </w:rPr>
        <w:t xml:space="preserve">51. Региональный государственный контроль осуществляется посредством проведения следующих внеплановых контрольных (надзорных) мероприятий:</w:t>
      </w:r>
    </w:p>
    <w:p>
      <w:pPr>
        <w:pStyle w:val="0"/>
        <w:spacing w:before="240"/>
        <w:ind w:firstLine="540"/>
        <w:jc w:val="both"/>
      </w:pPr>
      <w:r>
        <w:rPr>
          <w:sz w:val="24"/>
        </w:rPr>
        <w:t xml:space="preserve">1) внеплановая документарная проверка;</w:t>
      </w:r>
    </w:p>
    <w:p>
      <w:pPr>
        <w:pStyle w:val="0"/>
        <w:spacing w:before="240"/>
        <w:ind w:firstLine="540"/>
        <w:jc w:val="both"/>
      </w:pPr>
      <w:r>
        <w:rPr>
          <w:sz w:val="24"/>
        </w:rPr>
        <w:t xml:space="preserve">2) наблюдение за соблюдением обязательных требований (мониторинг безопасности), осуществляемое без взаимодействия с контролируемыми лицами, при размещении контролируемыми лицами в ЕИСЖС информации, предусмотренной Федеральным </w:t>
      </w:r>
      <w:hyperlink r:id="rId8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history="0">
        <w:r>
          <w:rPr>
            <w:color w:val="0000ff"/>
            <w:sz w:val="24"/>
          </w:rPr>
          <w:t xml:space="preserve">законом</w:t>
        </w:r>
      </w:hyperlink>
      <w:r>
        <w:rPr>
          <w:sz w:val="24"/>
        </w:rPr>
        <w:t xml:space="preserve"> N 214-ФЗ и иными нормативными правовыми актами в области долевого строительства многоквартирных домов и (или) иных объектов недвижимости.</w:t>
      </w:r>
    </w:p>
    <w:p>
      <w:pPr>
        <w:pStyle w:val="0"/>
        <w:spacing w:before="240"/>
        <w:ind w:firstLine="540"/>
        <w:jc w:val="both"/>
      </w:pPr>
      <w:r>
        <w:rPr>
          <w:sz w:val="24"/>
        </w:rPr>
        <w:t xml:space="preserve">Основанием для проведения контрольных (надзорных) мероприятий, за исключением случаев, указанных в </w:t>
      </w:r>
      <w:hyperlink r:id="rId8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части 2 статьи 57</w:t>
        </w:r>
      </w:hyperlink>
      <w:r>
        <w:rPr>
          <w:sz w:val="24"/>
        </w:rPr>
        <w:t xml:space="preserve"> Федерального закона N 248-ФЗ, может быть:</w:t>
      </w:r>
    </w:p>
    <w:p>
      <w:pPr>
        <w:pStyle w:val="0"/>
        <w:spacing w:before="240"/>
        <w:ind w:firstLine="540"/>
        <w:jc w:val="both"/>
      </w:pPr>
      <w:r>
        <w:rPr>
          <w:sz w:val="24"/>
        </w:rPr>
        <w:t xml:space="preserve">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pPr>
        <w:pStyle w:val="0"/>
        <w:spacing w:before="240"/>
        <w:ind w:firstLine="540"/>
        <w:jc w:val="both"/>
      </w:pPr>
      <w:r>
        <w:rPr>
          <w:sz w:val="24"/>
        </w:rPr>
        <w:t xml:space="preserve">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0"/>
        <w:spacing w:before="240"/>
        <w:ind w:firstLine="540"/>
        <w:jc w:val="both"/>
      </w:pPr>
      <w:r>
        <w:rPr>
          <w:sz w:val="24"/>
        </w:rPr>
        <w:t xml:space="preserve">истечение срока исполнения решения Министерства об устранении выявленного нарушения обязательных требований - в случаях, установленных </w:t>
      </w:r>
      <w:hyperlink r:id="rId8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1 статьи 95</w:t>
        </w:r>
      </w:hyperlink>
      <w:r>
        <w:rPr>
          <w:sz w:val="24"/>
        </w:rPr>
        <w:t xml:space="preserve"> Федерального закона N 248-ФЗ;</w:t>
      </w:r>
    </w:p>
    <w:p>
      <w:pPr>
        <w:pStyle w:val="0"/>
        <w:spacing w:before="240"/>
        <w:ind w:firstLine="540"/>
        <w:jc w:val="both"/>
      </w:pPr>
      <w:r>
        <w:rPr>
          <w:sz w:val="24"/>
        </w:rPr>
        <w:t xml:space="preserve">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spacing w:before="240"/>
        <w:ind w:firstLine="540"/>
        <w:jc w:val="both"/>
      </w:pPr>
      <w:r>
        <w:rPr>
          <w:sz w:val="24"/>
        </w:rPr>
        <w:t xml:space="preserve">уклонение контролируемого лица от проведения обязательного профилактического визита.</w:t>
      </w:r>
    </w:p>
    <w:p>
      <w:pPr>
        <w:pStyle w:val="0"/>
        <w:spacing w:before="240"/>
        <w:ind w:firstLine="540"/>
        <w:jc w:val="both"/>
      </w:pPr>
      <w:r>
        <w:rPr>
          <w:sz w:val="24"/>
        </w:rPr>
        <w:t xml:space="preserve">Контрольные (надзорные) мероприятия без взаимодействия проводятся по основаниям, предусмотренным </w:t>
      </w:r>
      <w:hyperlink r:id="rId8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частью 2 статьи 57</w:t>
        </w:r>
      </w:hyperlink>
      <w:r>
        <w:rPr>
          <w:sz w:val="24"/>
        </w:rPr>
        <w:t xml:space="preserve"> Федерального закона N 248-ФЗ.</w:t>
      </w:r>
    </w:p>
    <w:p>
      <w:pPr>
        <w:pStyle w:val="0"/>
        <w:spacing w:before="240"/>
        <w:ind w:firstLine="540"/>
        <w:jc w:val="both"/>
      </w:pPr>
      <w:r>
        <w:rPr>
          <w:sz w:val="24"/>
        </w:rPr>
        <w:t xml:space="preserve">Контрольные (надзорные) мероприятия со взаимодействием проводятся только при наличии решения о проведении контрольного (надзорного) мероприятия и после внесения информации о проверке в единый реестр контрольно-надзорных мероприятий.</w:t>
      </w:r>
    </w:p>
    <w:p>
      <w:pPr>
        <w:pStyle w:val="0"/>
        <w:spacing w:before="240"/>
        <w:ind w:firstLine="540"/>
        <w:jc w:val="both"/>
      </w:pPr>
      <w:r>
        <w:rPr>
          <w:sz w:val="24"/>
        </w:rPr>
        <w:t xml:space="preserve">При выявлении соответствия объекта контроля (надзора) параметрам, утвержденным индикаторами риска нарушения обязательных требований, или отклонения объекта контроля (надзора) от таких параметров должностное лицо Министерства направляет уполномоченному должностному лицу Министерства мотивированное представление о проведении контрольного (надзорного) мероприятия.</w:t>
      </w:r>
    </w:p>
    <w:p>
      <w:pPr>
        <w:pStyle w:val="0"/>
        <w:jc w:val="both"/>
      </w:pPr>
      <w:r>
        <w:rPr>
          <w:sz w:val="24"/>
        </w:rPr>
        <w:t xml:space="preserve">(п. 51 в ред. </w:t>
      </w:r>
      <w:hyperlink r:id="rId86"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52. Утратил силу. - </w:t>
      </w:r>
      <w:hyperlink r:id="rId87"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53. Особенности рассмотрения Министерством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 установлены </w:t>
      </w:r>
      <w:hyperlink r:id="rId8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59</w:t>
        </w:r>
      </w:hyperlink>
      <w:r>
        <w:rPr>
          <w:sz w:val="24"/>
        </w:rPr>
        <w:t xml:space="preserve"> Федерального закона N 248-ФЗ.</w:t>
      </w:r>
    </w:p>
    <w:p>
      <w:pPr>
        <w:pStyle w:val="0"/>
        <w:spacing w:before="240"/>
        <w:ind w:firstLine="540"/>
        <w:jc w:val="both"/>
      </w:pPr>
      <w:r>
        <w:rPr>
          <w:sz w:val="24"/>
        </w:rPr>
        <w:t xml:space="preserve">54. Утратил силу. - </w:t>
      </w:r>
      <w:hyperlink r:id="rId89"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55. Внеплановая документарная проверка (далее - документарная проверка) проводится по месту нахождения Министерства и требует согласования с органами прокуратуры, за исключением случая ее проведения в соответствии с </w:t>
      </w:r>
      <w:hyperlink r:id="rId9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пунктами 3</w:t>
        </w:r>
      </w:hyperlink>
      <w:r>
        <w:rPr>
          <w:sz w:val="24"/>
        </w:rPr>
        <w:t xml:space="preserve">, </w:t>
      </w:r>
      <w:hyperlink r:id="rId9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4 части 1 статьи 57</w:t>
        </w:r>
      </w:hyperlink>
      <w:r>
        <w:rPr>
          <w:sz w:val="24"/>
        </w:rPr>
        <w:t xml:space="preserve"> Федерального закона N 248-ФЗ.</w:t>
      </w:r>
    </w:p>
    <w:p>
      <w:pPr>
        <w:pStyle w:val="0"/>
        <w:jc w:val="both"/>
      </w:pPr>
      <w:r>
        <w:rPr>
          <w:sz w:val="24"/>
        </w:rPr>
        <w:t xml:space="preserve">(п. 55 в ред. </w:t>
      </w:r>
      <w:hyperlink r:id="rId92"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56. В ходе документарной проверки могут совершаться следующие контрольные (надзорные) действия:</w:t>
      </w:r>
    </w:p>
    <w:p>
      <w:pPr>
        <w:pStyle w:val="0"/>
        <w:spacing w:before="240"/>
        <w:ind w:firstLine="540"/>
        <w:jc w:val="both"/>
      </w:pPr>
      <w:r>
        <w:rPr>
          <w:sz w:val="24"/>
        </w:rPr>
        <w:t xml:space="preserve">1) получение письменных объяснений;</w:t>
      </w:r>
    </w:p>
    <w:p>
      <w:pPr>
        <w:pStyle w:val="0"/>
        <w:spacing w:before="240"/>
        <w:ind w:firstLine="540"/>
        <w:jc w:val="both"/>
      </w:pPr>
      <w:r>
        <w:rPr>
          <w:sz w:val="24"/>
        </w:rPr>
        <w:t xml:space="preserve">2) истребование документов.</w:t>
      </w:r>
    </w:p>
    <w:p>
      <w:pPr>
        <w:pStyle w:val="0"/>
        <w:spacing w:before="240"/>
        <w:ind w:firstLine="540"/>
        <w:jc w:val="both"/>
      </w:pPr>
      <w:r>
        <w:rPr>
          <w:sz w:val="24"/>
        </w:rPr>
        <w:t xml:space="preserve">57. В ходе документарной проверки рассматриваются документы контролируемых лиц, имеющиеся в распоряжении Министерства,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w:t>
      </w:r>
    </w:p>
    <w:p>
      <w:pPr>
        <w:pStyle w:val="0"/>
        <w:spacing w:before="240"/>
        <w:ind w:firstLine="540"/>
        <w:jc w:val="both"/>
      </w:pPr>
      <w:r>
        <w:rPr>
          <w:sz w:val="24"/>
        </w:rPr>
        <w:t xml:space="preserve">58. При проведении документарной проверки Министерство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ind w:firstLine="540"/>
        <w:jc w:val="both"/>
      </w:pPr>
      <w:r>
        <w:rPr>
          <w:sz w:val="24"/>
        </w:rPr>
        <w:t xml:space="preserve">59. В случае если достоверность сведений, содержащихся в документах, имеющихся в распоряжении Министерства, вызывает обоснованные сомнения либо эти сведения не позволяют оценить исполнение контролируемым лицом обязательных требований, Министерство направляет контролируемому лицу по адресу, имеющемуся в распоряжении Министерства, требование представить иные необходимые для рассмотрения в ходе документарной проверки документы.</w:t>
      </w:r>
    </w:p>
    <w:p>
      <w:pPr>
        <w:pStyle w:val="0"/>
        <w:spacing w:before="240"/>
        <w:ind w:firstLine="540"/>
        <w:jc w:val="both"/>
      </w:pPr>
      <w:r>
        <w:rPr>
          <w:sz w:val="24"/>
        </w:rPr>
        <w:t xml:space="preserve">Контролируемое лицо обязано направить в Министерство указанные в требовании документы в течение десяти рабочих дней со дня получения данного требования.</w:t>
      </w:r>
    </w:p>
    <w:p>
      <w:pPr>
        <w:pStyle w:val="0"/>
        <w:spacing w:before="240"/>
        <w:ind w:firstLine="540"/>
        <w:jc w:val="both"/>
      </w:pPr>
      <w:r>
        <w:rPr>
          <w:sz w:val="24"/>
        </w:rPr>
        <w:t xml:space="preserve">60.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(п. 60 в ред. </w:t>
      </w:r>
      <w:hyperlink r:id="rId93"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61. В рамках проводимой документарной проверки должностное лицо Министерства вправе запрашивать письменные объяснения от контролируемых лиц, в том числе руководителей и других работников контролируемых лиц.</w:t>
      </w:r>
    </w:p>
    <w:p>
      <w:pPr>
        <w:pStyle w:val="0"/>
        <w:spacing w:before="240"/>
        <w:ind w:firstLine="540"/>
        <w:jc w:val="both"/>
      </w:pPr>
      <w:r>
        <w:rPr>
          <w:sz w:val="24"/>
        </w:rPr>
        <w:t xml:space="preserve">Объяснения оформляются путем составления письменного документа в свободной форме.</w:t>
      </w:r>
    </w:p>
    <w:p>
      <w:pPr>
        <w:pStyle w:val="0"/>
        <w:spacing w:before="240"/>
        <w:ind w:firstLine="540"/>
        <w:jc w:val="both"/>
      </w:pPr>
      <w:r>
        <w:rPr>
          <w:sz w:val="24"/>
        </w:rPr>
        <w:t xml:space="preserve">62. Срок проведения документарной проверки не может превышать десяти рабочих дней. На период с момента направления Министерством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Министерство, а также период с момента направления контролируемому лицу информации Министерства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Министерства документах и (или) полученным при осуществлении государственного контроля (надзора), и требования представить необходимые письменные объяснения до момента представления указанных письменных объяснений в Министерство исчисление срока проведения документарной проверки приостанавливается.</w:t>
      </w:r>
    </w:p>
    <w:p>
      <w:pPr>
        <w:pStyle w:val="0"/>
        <w:jc w:val="both"/>
      </w:pPr>
      <w:r>
        <w:rPr>
          <w:sz w:val="24"/>
        </w:rPr>
        <w:t xml:space="preserve">(п. 62 в ред. </w:t>
      </w:r>
      <w:hyperlink r:id="rId94"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63. Наблюдение за соблюдением обязательных требований (мониторинг безопасности) представляет собой сбор, анализ данных об объектах контроля, имеющихся у Министерства, в том числе данных, которые поступают в ходе межведомственного информационного взаимодействия, представляются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w:t>
      </w:r>
    </w:p>
    <w:p>
      <w:pPr>
        <w:pStyle w:val="0"/>
        <w:spacing w:before="240"/>
        <w:ind w:firstLine="540"/>
        <w:jc w:val="both"/>
      </w:pPr>
      <w:r>
        <w:rPr>
          <w:sz w:val="24"/>
        </w:rPr>
        <w:t xml:space="preserve">64. Наблюдение за соблюдением обязательных требований (мониторинг безопасности) проводится без взаимодействия с контролируемым лицом посредством:</w:t>
      </w:r>
    </w:p>
    <w:p>
      <w:pPr>
        <w:pStyle w:val="0"/>
        <w:spacing w:before="240"/>
        <w:ind w:firstLine="540"/>
        <w:jc w:val="both"/>
      </w:pPr>
      <w:r>
        <w:rPr>
          <w:sz w:val="24"/>
        </w:rPr>
        <w:t xml:space="preserve">1) анализа информации, размещаемой в ЕИСЖС (состав, порядок, способы, достоверность, полнота, сроки и периодичность размещения), обязанность по раскрытию которой возложена на контролируемое лицо в соответствии с обязательными требованиями;</w:t>
      </w:r>
    </w:p>
    <w:p>
      <w:pPr>
        <w:pStyle w:val="0"/>
        <w:spacing w:before="240"/>
        <w:ind w:firstLine="540"/>
        <w:jc w:val="both"/>
      </w:pPr>
      <w:r>
        <w:rPr>
          <w:sz w:val="24"/>
        </w:rPr>
        <w:t xml:space="preserve">2) анализа ежеквартальной отчетности об осуществлении деятельности контролируемого лица, связанной с привлечением денежных средств граждан для строительства контролируемым лицом многоквартирного дома, в том числе об исполнении таким контролируемым лицом своих обязательств перед членами кооператива и иными лицами, в целях формирования выводов:</w:t>
      </w:r>
    </w:p>
    <w:p>
      <w:pPr>
        <w:pStyle w:val="0"/>
        <w:spacing w:before="240"/>
        <w:ind w:firstLine="540"/>
        <w:jc w:val="both"/>
      </w:pPr>
      <w:r>
        <w:rPr>
          <w:sz w:val="24"/>
        </w:rPr>
        <w:t xml:space="preserve">о соблюдении контролируемым лицом сроков представления в контрольный (надзорный) орган ежеквартальной отчетности и требований к ее составу;</w:t>
      </w:r>
    </w:p>
    <w:p>
      <w:pPr>
        <w:pStyle w:val="0"/>
        <w:spacing w:before="240"/>
        <w:ind w:firstLine="540"/>
        <w:jc w:val="both"/>
      </w:pPr>
      <w:r>
        <w:rPr>
          <w:sz w:val="24"/>
        </w:rPr>
        <w:t xml:space="preserve">о соблюдении контролируемым лицом сроков исполнения им договорных обязательств перед членами кооператива.</w:t>
      </w:r>
    </w:p>
    <w:p>
      <w:pPr>
        <w:pStyle w:val="0"/>
        <w:spacing w:before="240"/>
        <w:ind w:firstLine="540"/>
        <w:jc w:val="both"/>
      </w:pPr>
      <w:r>
        <w:rPr>
          <w:sz w:val="24"/>
        </w:rPr>
        <w:t xml:space="preserve">65. Наблюдение за соблюдением обязательных требований (мониторинг безопасности) проводится должностными лицами Министерства на основании заданий, утверждаемых министром, а в его отсутствие - заместителем министра.</w:t>
      </w:r>
    </w:p>
    <w:p>
      <w:pPr>
        <w:pStyle w:val="0"/>
        <w:spacing w:before="240"/>
        <w:ind w:firstLine="540"/>
        <w:jc w:val="both"/>
      </w:pPr>
      <w:r>
        <w:rPr>
          <w:sz w:val="24"/>
        </w:rPr>
        <w:t xml:space="preserve">66. Утратил силу. - </w:t>
      </w:r>
      <w:hyperlink r:id="rId95"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67.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Министерством могут быть приняты следующие решения:</w:t>
      </w:r>
    </w:p>
    <w:p>
      <w:pPr>
        <w:pStyle w:val="0"/>
        <w:spacing w:before="240"/>
        <w:ind w:firstLine="540"/>
        <w:jc w:val="both"/>
      </w:pPr>
      <w:r>
        <w:rPr>
          <w:sz w:val="24"/>
        </w:rPr>
        <w:t xml:space="preserve">1) решение о проведении внепланового контрольного (надзорного) мероприятия в соответствии со </w:t>
      </w:r>
      <w:hyperlink r:id="rId9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60</w:t>
        </w:r>
      </w:hyperlink>
      <w:r>
        <w:rPr>
          <w:sz w:val="24"/>
        </w:rPr>
        <w:t xml:space="preserve"> Федерального закона N 248-ФЗ;</w:t>
      </w:r>
    </w:p>
    <w:p>
      <w:pPr>
        <w:pStyle w:val="0"/>
        <w:spacing w:before="240"/>
        <w:ind w:firstLine="540"/>
        <w:jc w:val="both"/>
      </w:pPr>
      <w:r>
        <w:rPr>
          <w:sz w:val="24"/>
        </w:rPr>
        <w:t xml:space="preserve">2) решение об объявлении предостережения;</w:t>
      </w:r>
    </w:p>
    <w:p>
      <w:pPr>
        <w:pStyle w:val="0"/>
        <w:spacing w:before="240"/>
        <w:ind w:firstLine="540"/>
        <w:jc w:val="both"/>
      </w:pPr>
      <w:r>
        <w:rPr>
          <w:sz w:val="24"/>
        </w:rPr>
        <w:t xml:space="preserve">3) решение о выдаче предписания об устранении выявленных нарушений в порядке, предусмотренном </w:t>
      </w:r>
      <w:hyperlink r:id="rId9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пунктом 1 части 2 статьи 90</w:t>
        </w:r>
      </w:hyperlink>
      <w:r>
        <w:rPr>
          <w:sz w:val="24"/>
        </w:rPr>
        <w:t xml:space="preserve"> Федерального закона N 248-ФЗ.</w:t>
      </w:r>
    </w:p>
    <w:p>
      <w:pPr>
        <w:pStyle w:val="0"/>
        <w:jc w:val="both"/>
      </w:pPr>
      <w:r>
        <w:rPr>
          <w:sz w:val="24"/>
        </w:rPr>
        <w:t xml:space="preserve">(пп. 3 в ред. </w:t>
      </w:r>
      <w:hyperlink r:id="rId98"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Абз. пятый п. 67 </w:t>
            </w:r>
            <w:hyperlink r:id="rId99"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вступает</w:t>
              </w:r>
            </w:hyperlink>
            <w:r>
              <w:rPr>
                <w:color w:val="392c69"/>
                <w:sz w:val="24"/>
              </w:rPr>
              <w:t xml:space="preserve"> в силу с 01.09.2025.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По результатам проведения наблюдения за соблюдением обязательных требований (мониторинга безопасности) при выявлении нарушений обязательных требований составляется акт контрольного (надзорного) мероприятия в соответствии с его типовой формой, предусмотренной </w:t>
      </w:r>
      <w:hyperlink w:tooltip="13. Министерство использует типовые формы документов, утвержденные приказом Минэкономразвития России от 31.03.2021 N 151 &quot;О типовых формах документов, используемых контрольным (надзорным) органом&quot; (далее - Приказ Минэкономразвития России N 151)." w:anchor="P81" w:history="0">
        <w:r>
          <w:rPr>
            <w:color w:val="0000ff"/>
            <w:sz w:val="24"/>
          </w:rPr>
          <w:t xml:space="preserve">пунктом 13</w:t>
        </w:r>
      </w:hyperlink>
      <w:r>
        <w:rPr>
          <w:sz w:val="24"/>
        </w:rPr>
        <w:t xml:space="preserve"> настоящего Положения (далее - акт).</w:t>
      </w:r>
    </w:p>
    <w:p>
      <w:pPr>
        <w:pStyle w:val="0"/>
        <w:jc w:val="both"/>
      </w:pPr>
      <w:r>
        <w:rPr>
          <w:sz w:val="24"/>
        </w:rPr>
        <w:t xml:space="preserve">(абзац введен </w:t>
      </w:r>
      <w:hyperlink r:id="rId100"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 N 311-п)</w:t>
      </w:r>
    </w:p>
    <w:p>
      <w:pPr>
        <w:pStyle w:val="0"/>
        <w:ind w:firstLine="540"/>
        <w:jc w:val="both"/>
      </w:pPr>
      <w:r>
        <w:rPr>
          <w:sz w:val="24"/>
        </w:rPr>
      </w:r>
    </w:p>
    <w:p>
      <w:pPr>
        <w:pStyle w:val="2"/>
        <w:jc w:val="center"/>
        <w:outlineLvl w:val="1"/>
      </w:pPr>
      <w:r>
        <w:rPr>
          <w:sz w:val="24"/>
        </w:rPr>
        <w:t xml:space="preserve">VII. Результаты контрольного (надзорного) мероприятия</w:t>
      </w:r>
    </w:p>
    <w:p>
      <w:pPr>
        <w:pStyle w:val="0"/>
        <w:ind w:firstLine="540"/>
        <w:jc w:val="both"/>
      </w:pPr>
      <w:r>
        <w:rPr>
          <w:sz w:val="24"/>
        </w:rPr>
      </w:r>
    </w:p>
    <w:p>
      <w:pPr>
        <w:pStyle w:val="0"/>
        <w:ind w:firstLine="540"/>
        <w:jc w:val="both"/>
      </w:pPr>
      <w:r>
        <w:rPr>
          <w:sz w:val="24"/>
        </w:rPr>
        <w:t xml:space="preserve">68.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10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пунктом 2 части 2 статьи 90</w:t>
        </w:r>
      </w:hyperlink>
      <w:r>
        <w:rPr>
          <w:sz w:val="24"/>
        </w:rPr>
        <w:t xml:space="preserve"> Федерального закона N 248-ФЗ.</w:t>
      </w:r>
    </w:p>
    <w:p>
      <w:pPr>
        <w:pStyle w:val="0"/>
        <w:spacing w:before="240"/>
        <w:ind w:firstLine="540"/>
        <w:jc w:val="both"/>
      </w:pPr>
      <w:r>
        <w:rPr>
          <w:sz w:val="24"/>
        </w:rPr>
        <w:t xml:space="preserve">69. По окончании проведения контрольного (надзорного) мероприятия, предусматривающего взаимодействие с контролируемым лицом, составляется акт.</w:t>
      </w:r>
    </w:p>
    <w:p>
      <w:pPr>
        <w:pStyle w:val="0"/>
        <w:jc w:val="both"/>
      </w:pPr>
      <w:r>
        <w:rPr>
          <w:sz w:val="24"/>
        </w:rPr>
        <w:t xml:space="preserve">(п. 69 в ред. </w:t>
      </w:r>
      <w:hyperlink r:id="rId102"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70.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pPr>
        <w:pStyle w:val="0"/>
        <w:spacing w:before="240"/>
        <w:ind w:firstLine="540"/>
        <w:jc w:val="both"/>
      </w:pPr>
      <w:r>
        <w:rPr>
          <w:sz w:val="24"/>
        </w:rPr>
        <w:t xml:space="preserve">71. 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pPr>
        <w:pStyle w:val="0"/>
        <w:spacing w:before="240"/>
        <w:ind w:firstLine="540"/>
        <w:jc w:val="both"/>
      </w:pPr>
      <w:r>
        <w:rPr>
          <w:sz w:val="24"/>
        </w:rPr>
        <w:t xml:space="preserve">72. В случае выявления при проведении контрольного (надзорного) мероприятия нарушений обязательных требований контролируемым лицом Министерство в пределах полномочий, предусмотренных законодательством Российской Федерации, обязано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t>
      </w:r>
      <w:hyperlink r:id="rId10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w:t>
      </w:r>
    </w:p>
    <w:p>
      <w:pPr>
        <w:pStyle w:val="0"/>
        <w:jc w:val="both"/>
      </w:pPr>
      <w:r>
        <w:rPr>
          <w:sz w:val="24"/>
        </w:rPr>
        <w:t xml:space="preserve">(п. 72 в ред. </w:t>
      </w:r>
      <w:hyperlink r:id="rId104"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73.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а равно устранения нарушения обязательных требований, должны быть приобщены к акту.</w:t>
      </w:r>
    </w:p>
    <w:p>
      <w:pPr>
        <w:pStyle w:val="0"/>
        <w:spacing w:before="240"/>
        <w:ind w:firstLine="540"/>
        <w:jc w:val="both"/>
      </w:pPr>
      <w:r>
        <w:rPr>
          <w:sz w:val="24"/>
        </w:rPr>
        <w:t xml:space="preserve">74.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Министерства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0"/>
        <w:spacing w:before="240"/>
        <w:ind w:firstLine="540"/>
        <w:jc w:val="both"/>
      </w:pPr>
      <w:r>
        <w:rPr>
          <w:sz w:val="24"/>
        </w:rPr>
        <w:t xml:space="preserve">75. К акту прилагаются документы или их копии, связанные с контрольным (надзорным) мероприятием, в том числе акты о противодействии проведению проверки (если они составлялись), объяснения работников контролируемого лица, на которых возлагается ответственность за установленные нарушения, предписание об устранении выявленных нарушений (при их наличии).</w:t>
      </w:r>
    </w:p>
    <w:p>
      <w:pPr>
        <w:pStyle w:val="0"/>
        <w:spacing w:before="240"/>
        <w:ind w:firstLine="540"/>
        <w:jc w:val="both"/>
      </w:pPr>
      <w:r>
        <w:rPr>
          <w:sz w:val="24"/>
        </w:rPr>
        <w:t xml:space="preserve">76. Министерство направляет акт контролируемому лицу по адресу, имеющемуся в распоряжении Министерства.</w:t>
      </w:r>
    </w:p>
    <w:p>
      <w:pPr>
        <w:pStyle w:val="0"/>
        <w:spacing w:before="240"/>
        <w:ind w:firstLine="540"/>
        <w:jc w:val="both"/>
      </w:pPr>
      <w:r>
        <w:rPr>
          <w:sz w:val="24"/>
        </w:rPr>
        <w:t xml:space="preserve">77. В случае выявления при проведении контрольного (надзорного) мероприятия нарушений обязательных требований контролируемым лицом Министерство обязано:</w:t>
      </w:r>
    </w:p>
    <w:p>
      <w:pPr>
        <w:pStyle w:val="0"/>
        <w:spacing w:before="240"/>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w:t>
      </w:r>
      <w:hyperlink r:id="rId10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w:t>
      </w:r>
    </w:p>
    <w:p>
      <w:pPr>
        <w:pStyle w:val="0"/>
        <w:jc w:val="both"/>
      </w:pPr>
      <w:r>
        <w:rPr>
          <w:sz w:val="24"/>
        </w:rPr>
        <w:t xml:space="preserve">(пп. 1 в ред. </w:t>
      </w:r>
      <w:hyperlink r:id="rId106"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2)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ind w:firstLine="540"/>
        <w:jc w:val="both"/>
      </w:pPr>
      <w:r>
        <w:rPr>
          <w:sz w:val="24"/>
        </w:rPr>
        <w:t xml:space="preserve">3)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pPr>
        <w:pStyle w:val="0"/>
        <w:spacing w:before="240"/>
        <w:ind w:firstLine="540"/>
        <w:jc w:val="both"/>
      </w:pPr>
      <w:r>
        <w:rPr>
          <w:sz w:val="24"/>
        </w:rPr>
        <w:t xml:space="preserve">4)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0"/>
        <w:spacing w:before="240"/>
        <w:ind w:firstLine="540"/>
        <w:jc w:val="both"/>
      </w:pPr>
      <w:r>
        <w:rPr>
          <w:sz w:val="24"/>
        </w:rPr>
        <w:t xml:space="preserve">78. В случае неисполнения контролируемым лицом в установленный Министерством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Министерство вправе вынести предписание о приостановлении деятельности контролируемого лица по привлечению новых членов кооператива до устранения контролируемым лицом соответствующих нарушений. Министерство в случае неисполнения его предписаний контролируемым лицом вправе обратиться в суд с требованием о ликвидации этого контролируемого лица.</w:t>
      </w:r>
    </w:p>
    <w:p>
      <w:pPr>
        <w:pStyle w:val="0"/>
        <w:spacing w:before="240"/>
        <w:ind w:firstLine="540"/>
        <w:jc w:val="both"/>
      </w:pPr>
      <w:r>
        <w:rPr>
          <w:sz w:val="24"/>
        </w:rPr>
        <w:t xml:space="preserve">79. По истечении срока исполнения контролируемым лицом предписания об устранении выявленных нарушений либо при представлении контролируемым лицом до истечения указанного срока документов и сведений, представление которых установлено предписанием об устранении выявленных нарушений, либо в случае получения информации в рамках наблюдения за соблюдением обязательных требований (мониторинга безопасности) Министерство оценивает исполнение предписания об устранении выявленных нарушений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предписания об устранении выявленных нарушений, Министерство в течение пяти рабочих дней принимает решение о проведении документарной проверки, предметом которой является исполнение ранее выданного предписания об устранении выявленных нарушений.</w:t>
      </w:r>
    </w:p>
    <w:p>
      <w:pPr>
        <w:pStyle w:val="0"/>
        <w:jc w:val="both"/>
      </w:pPr>
      <w:r>
        <w:rPr>
          <w:sz w:val="24"/>
        </w:rPr>
        <w:t xml:space="preserve">(п. 79 в ред. </w:t>
      </w:r>
      <w:hyperlink r:id="rId107"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79.1. С контролируемым лицом, в отношении которого выявлены нарушения обязательных требований, может быть заключено соглашение о надлежащем устранении нарушений обязательных требований в порядке, предусмотренном </w:t>
      </w:r>
      <w:hyperlink r:id="rId10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90.2</w:t>
        </w:r>
      </w:hyperlink>
      <w:r>
        <w:rPr>
          <w:sz w:val="24"/>
        </w:rPr>
        <w:t xml:space="preserve"> Федерального закона N 248-ФЗ.</w:t>
      </w:r>
    </w:p>
    <w:p>
      <w:pPr>
        <w:pStyle w:val="0"/>
        <w:jc w:val="both"/>
      </w:pPr>
      <w:r>
        <w:rPr>
          <w:sz w:val="24"/>
        </w:rPr>
        <w:t xml:space="preserve">(п. 79.1 введен </w:t>
      </w:r>
      <w:hyperlink r:id="rId109"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 N 311-п)</w:t>
      </w:r>
    </w:p>
    <w:p>
      <w:pPr>
        <w:pStyle w:val="0"/>
        <w:ind w:firstLine="540"/>
        <w:jc w:val="both"/>
      </w:pPr>
      <w:r>
        <w:rPr>
          <w:sz w:val="24"/>
        </w:rPr>
      </w:r>
    </w:p>
    <w:p>
      <w:pPr>
        <w:pStyle w:val="2"/>
        <w:jc w:val="center"/>
        <w:outlineLvl w:val="1"/>
      </w:pPr>
      <w:r>
        <w:rPr>
          <w:sz w:val="24"/>
        </w:rPr>
        <w:t xml:space="preserve">VIII. Досудебный порядок обжалования решений</w:t>
      </w:r>
    </w:p>
    <w:p>
      <w:pPr>
        <w:pStyle w:val="2"/>
        <w:jc w:val="center"/>
      </w:pPr>
      <w:r>
        <w:rPr>
          <w:sz w:val="24"/>
        </w:rPr>
        <w:t xml:space="preserve">Министерства, действий (бездействия) заместителя</w:t>
      </w:r>
    </w:p>
    <w:p>
      <w:pPr>
        <w:pStyle w:val="2"/>
        <w:jc w:val="center"/>
      </w:pPr>
      <w:r>
        <w:rPr>
          <w:sz w:val="24"/>
        </w:rPr>
        <w:t xml:space="preserve">министра, должностных лиц Министерства</w:t>
      </w:r>
    </w:p>
    <w:p>
      <w:pPr>
        <w:pStyle w:val="0"/>
        <w:ind w:firstLine="540"/>
        <w:jc w:val="both"/>
      </w:pPr>
      <w:r>
        <w:rPr>
          <w:sz w:val="24"/>
        </w:rPr>
      </w:r>
    </w:p>
    <w:p>
      <w:pPr>
        <w:pStyle w:val="0"/>
        <w:ind w:firstLine="540"/>
        <w:jc w:val="both"/>
      </w:pPr>
      <w:r>
        <w:rPr>
          <w:sz w:val="24"/>
        </w:rPr>
        <w:t xml:space="preserve">80.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 в порядке и сроки, установленные </w:t>
      </w:r>
      <w:hyperlink r:id="rId11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40</w:t>
        </w:r>
      </w:hyperlink>
      <w:r>
        <w:rPr>
          <w:sz w:val="24"/>
        </w:rPr>
        <w:t xml:space="preserve"> Федерального закона N 248-ФЗ:</w:t>
      </w:r>
    </w:p>
    <w:p>
      <w:pPr>
        <w:pStyle w:val="0"/>
        <w:spacing w:before="240"/>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spacing w:before="240"/>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spacing w:before="240"/>
        <w:ind w:firstLine="540"/>
        <w:jc w:val="both"/>
      </w:pPr>
      <w:r>
        <w:rPr>
          <w:sz w:val="24"/>
        </w:rPr>
        <w:t xml:space="preserve">3) действий (бездействия) должностных лиц Министерства в рамках контрольных (надзорных) мероприятий и обязательных профилактических визитов;</w:t>
      </w:r>
    </w:p>
    <w:p>
      <w:pPr>
        <w:pStyle w:val="0"/>
        <w:spacing w:before="240"/>
        <w:ind w:firstLine="540"/>
        <w:jc w:val="both"/>
      </w:pPr>
      <w:r>
        <w:rPr>
          <w:sz w:val="24"/>
        </w:rPr>
        <w:t xml:space="preserve">4) решений об отнесении объектов контроля к соответствующей категории риска;</w:t>
      </w:r>
    </w:p>
    <w:p>
      <w:pPr>
        <w:pStyle w:val="0"/>
        <w:spacing w:before="240"/>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spacing w:before="240"/>
        <w:ind w:firstLine="540"/>
        <w:jc w:val="both"/>
      </w:pPr>
      <w:r>
        <w:rPr>
          <w:sz w:val="24"/>
        </w:rPr>
        <w:t xml:space="preserve">6) иных решений, принимаемых Министерством по итогам профилактических и (или) контрольных (надзорных) мероприятий, предусмотренных Федеральным </w:t>
      </w:r>
      <w:hyperlink r:id="rId11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законом</w:t>
        </w:r>
      </w:hyperlink>
      <w:r>
        <w:rPr>
          <w:sz w:val="24"/>
        </w:rPr>
        <w:t xml:space="preserve"> N 248-ФЗ, в отношении контролируемых лиц или объектов контроля.</w:t>
      </w:r>
    </w:p>
    <w:p>
      <w:pPr>
        <w:pStyle w:val="0"/>
        <w:jc w:val="both"/>
      </w:pPr>
      <w:r>
        <w:rPr>
          <w:sz w:val="24"/>
        </w:rPr>
        <w:t xml:space="preserve">(п. 80 в ред. </w:t>
      </w:r>
      <w:hyperlink r:id="rId112"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81. Решения о проведении контрольных (надзорных) мероприятий, акты, предписания об устранении выявленных нарушений, а также действия (бездействие) заместителя министра обжалуются министру. Акты, предписания об устранении выявленных нарушений, а также действия (бездействие) должностных лиц Министерства обжалуются заместителю министра.</w:t>
      </w:r>
    </w:p>
    <w:p>
      <w:pPr>
        <w:pStyle w:val="0"/>
        <w:spacing w:before="240"/>
        <w:ind w:firstLine="540"/>
        <w:jc w:val="both"/>
      </w:pPr>
      <w:r>
        <w:rPr>
          <w:sz w:val="24"/>
        </w:rPr>
        <w:t xml:space="preserve">81.1. Жалоба на решения, действия (бездействие) министра рассматривается министром.</w:t>
      </w:r>
    </w:p>
    <w:p>
      <w:pPr>
        <w:pStyle w:val="0"/>
        <w:jc w:val="both"/>
      </w:pPr>
      <w:r>
        <w:rPr>
          <w:sz w:val="24"/>
        </w:rPr>
        <w:t xml:space="preserve">(п. 81.1 введен </w:t>
      </w:r>
      <w:hyperlink r:id="rId113"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постановлением</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82. Жалоба составляется и оформляется в соответствии с требованиями, установленными </w:t>
      </w:r>
      <w:hyperlink r:id="rId11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41</w:t>
        </w:r>
      </w:hyperlink>
      <w:r>
        <w:rPr>
          <w:sz w:val="24"/>
        </w:rPr>
        <w:t xml:space="preserve"> Федерального закона N 248-ФЗ.</w:t>
      </w:r>
    </w:p>
    <w:p>
      <w:pPr>
        <w:pStyle w:val="0"/>
        <w:spacing w:before="240"/>
        <w:ind w:firstLine="540"/>
        <w:jc w:val="both"/>
      </w:pPr>
      <w:r>
        <w:rPr>
          <w:sz w:val="24"/>
        </w:rPr>
        <w:t xml:space="preserve">До 2030 года жалоба подается контролируемым лицом в Министерство с учетом особенностей, предусмотренных </w:t>
      </w:r>
      <w:hyperlink r:id="rId115" w:tooltip="Постановление Правительства РФ от 10.03.2022 N 336 (ред. от 28.12.2024) &quot;Об особенностях организации и осуществления государственного контроля (надзора), муниципального контроля&quot; {КонсультантПлюс}" w:history="0">
        <w:r>
          <w:rPr>
            <w:color w:val="0000ff"/>
            <w:sz w:val="24"/>
          </w:rPr>
          <w:t xml:space="preserve">пунктом 11(2)</w:t>
        </w:r>
      </w:hyperlink>
      <w:r>
        <w:rPr>
          <w:sz w:val="24"/>
        </w:rPr>
        <w:t xml:space="preserve"> постановления Правительства Российской Федерации N 336.</w:t>
      </w:r>
    </w:p>
    <w:p>
      <w:pPr>
        <w:pStyle w:val="0"/>
        <w:jc w:val="both"/>
      </w:pPr>
      <w:r>
        <w:rPr>
          <w:sz w:val="24"/>
        </w:rPr>
        <w:t xml:space="preserve">(абзац введен </w:t>
      </w:r>
      <w:hyperlink r:id="rId116" w:tooltip="Постановление Правительства Новосибирской области от 23.09.2024 N 432-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постановлением</w:t>
        </w:r>
      </w:hyperlink>
      <w:r>
        <w:rPr>
          <w:sz w:val="24"/>
        </w:rPr>
        <w:t xml:space="preserve"> Правительства Новосибирской области от 23.09.2024 N 432-п)</w:t>
      </w:r>
    </w:p>
    <w:p>
      <w:pPr>
        <w:pStyle w:val="0"/>
        <w:spacing w:before="240"/>
        <w:ind w:firstLine="540"/>
        <w:jc w:val="both"/>
      </w:pPr>
      <w:r>
        <w:rPr>
          <w:sz w:val="24"/>
        </w:rPr>
        <w:t xml:space="preserve">83. Министерство принимает решение об отказе в рассмотрении жалобы в порядке и сроки, установленные </w:t>
      </w:r>
      <w:hyperlink r:id="rId11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42</w:t>
        </w:r>
      </w:hyperlink>
      <w:r>
        <w:rPr>
          <w:sz w:val="24"/>
        </w:rPr>
        <w:t xml:space="preserve"> Федерального закона N 248-ФЗ.</w:t>
      </w:r>
    </w:p>
    <w:p>
      <w:pPr>
        <w:pStyle w:val="0"/>
        <w:jc w:val="both"/>
      </w:pPr>
      <w:r>
        <w:rPr>
          <w:sz w:val="24"/>
        </w:rPr>
        <w:t xml:space="preserve">(п. 83 в ред. </w:t>
      </w:r>
      <w:hyperlink r:id="rId118"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spacing w:before="240"/>
        <w:ind w:firstLine="540"/>
        <w:jc w:val="both"/>
      </w:pPr>
      <w:r>
        <w:rPr>
          <w:sz w:val="24"/>
        </w:rPr>
        <w:t xml:space="preserve">84. Жалоба подлежит рассмотрению Министерством в порядке и сроки, установленные </w:t>
      </w:r>
      <w:hyperlink r:id="rId11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43</w:t>
        </w:r>
      </w:hyperlink>
      <w:r>
        <w:rPr>
          <w:sz w:val="24"/>
        </w:rPr>
        <w:t xml:space="preserve"> Федерального закона N 248-ФЗ.</w:t>
      </w:r>
    </w:p>
    <w:p>
      <w:pPr>
        <w:pStyle w:val="0"/>
        <w:spacing w:before="240"/>
        <w:ind w:firstLine="540"/>
        <w:jc w:val="both"/>
      </w:pPr>
      <w:r>
        <w:rPr>
          <w:sz w:val="24"/>
        </w:rPr>
        <w:t xml:space="preserve">Жалоба, содержащая сведения и документы, составляющие государственную или иную охраняемую законом тайну, подается контролируемым лицом в Министерство на бумажном носителе с учетом требований законодательства Российской Федерации о государственной и иной охраняемой законом тайне. Такая жалоба рассматривается в сроки, установленные </w:t>
      </w:r>
      <w:hyperlink r:id="rId12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history="0">
        <w:r>
          <w:rPr>
            <w:color w:val="0000ff"/>
            <w:sz w:val="24"/>
          </w:rPr>
          <w:t xml:space="preserve">статьей 43</w:t>
        </w:r>
      </w:hyperlink>
      <w:r>
        <w:rPr>
          <w:sz w:val="24"/>
        </w:rPr>
        <w:t xml:space="preserve"> Федерального закона N 248-ФЗ, с момента ее подачи. Решение по итогам рассмотрения жалобы вручается контролируемому лицу на бумажном носителе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(п. 84 в ред. </w:t>
      </w:r>
      <w:hyperlink r:id="rId121"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ind w:firstLine="540"/>
        <w:jc w:val="both"/>
      </w:pPr>
      <w:r>
        <w:rPr>
          <w:sz w:val="24"/>
        </w:rPr>
      </w:r>
    </w:p>
    <w:bookmarkStart w:id="276" w:name="P276"/>
    <w:bookmarkEnd w:id="276"/>
    <w:p>
      <w:pPr>
        <w:pStyle w:val="2"/>
        <w:jc w:val="center"/>
        <w:outlineLvl w:val="1"/>
      </w:pPr>
      <w:r>
        <w:rPr>
          <w:sz w:val="24"/>
        </w:rPr>
        <w:t xml:space="preserve">IX. Оценка результативности и эффективности</w:t>
      </w:r>
    </w:p>
    <w:p>
      <w:pPr>
        <w:pStyle w:val="2"/>
        <w:jc w:val="center"/>
      </w:pPr>
      <w:r>
        <w:rPr>
          <w:sz w:val="24"/>
        </w:rPr>
        <w:t xml:space="preserve">деятельности Министерства при осуществлении</w:t>
      </w:r>
    </w:p>
    <w:p>
      <w:pPr>
        <w:pStyle w:val="2"/>
        <w:jc w:val="center"/>
      </w:pPr>
      <w:r>
        <w:rPr>
          <w:sz w:val="24"/>
        </w:rPr>
        <w:t xml:space="preserve">Регионального государственного контроля</w:t>
      </w:r>
    </w:p>
    <w:p>
      <w:pPr>
        <w:pStyle w:val="0"/>
        <w:ind w:firstLine="540"/>
        <w:jc w:val="both"/>
      </w:pPr>
      <w:r>
        <w:rPr>
          <w:sz w:val="24"/>
        </w:rPr>
      </w:r>
    </w:p>
    <w:p>
      <w:pPr>
        <w:pStyle w:val="0"/>
        <w:ind w:firstLine="540"/>
        <w:jc w:val="both"/>
      </w:pPr>
      <w:r>
        <w:rPr>
          <w:sz w:val="24"/>
        </w:rPr>
        <w:t xml:space="preserve">85. Оценка результативности и эффективности деятельности Министерства и должностных лиц Министерства по Региональному государственному контролю осуществляется на основе системы показателей результативности и эффективности Регионального государственного контроля.</w:t>
      </w:r>
    </w:p>
    <w:p>
      <w:pPr>
        <w:pStyle w:val="0"/>
        <w:spacing w:before="240"/>
        <w:ind w:firstLine="540"/>
        <w:jc w:val="both"/>
      </w:pPr>
      <w:r>
        <w:rPr>
          <w:sz w:val="24"/>
        </w:rPr>
        <w:t xml:space="preserve">86. В систему показателей результативности и эффективности деятельности Министерства при осуществлении Регионального государственного контроля входят:</w:t>
      </w:r>
    </w:p>
    <w:p>
      <w:pPr>
        <w:pStyle w:val="0"/>
        <w:spacing w:before="240"/>
        <w:ind w:firstLine="540"/>
        <w:jc w:val="both"/>
      </w:pPr>
      <w:r>
        <w:rPr>
          <w:sz w:val="24"/>
        </w:rPr>
        <w:t xml:space="preserve">1) ключевые показатели,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должно обеспечить Министерство (далее - ключевые показатели);</w:t>
      </w:r>
    </w:p>
    <w:p>
      <w:pPr>
        <w:pStyle w:val="0"/>
        <w:spacing w:before="240"/>
        <w:ind w:firstLine="540"/>
        <w:jc w:val="both"/>
      </w:pPr>
      <w:r>
        <w:rPr>
          <w:sz w:val="24"/>
        </w:rPr>
        <w:t xml:space="preserve">2) индикативные показатели,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контролируемого лица (далее - индикативные показатели).</w:t>
      </w:r>
    </w:p>
    <w:p>
      <w:pPr>
        <w:pStyle w:val="0"/>
        <w:spacing w:before="240"/>
        <w:ind w:firstLine="540"/>
        <w:jc w:val="both"/>
      </w:pPr>
      <w:r>
        <w:rPr>
          <w:sz w:val="24"/>
        </w:rPr>
        <w:t xml:space="preserve">87. Министерство ежегодно до 15 марта года, следующего за отчетным, осуществляет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(п. 87 в ред. </w:t>
      </w:r>
      <w:hyperlink r:id="rId122"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w:t>
      </w:r>
    </w:p>
    <w:p>
      <w:pPr>
        <w:pStyle w:val="0"/>
        <w:jc w:val="right"/>
      </w:pPr>
      <w:r>
        <w:rPr>
          <w:sz w:val="24"/>
        </w:rPr>
        <w:t xml:space="preserve">к Положению</w:t>
      </w:r>
    </w:p>
    <w:p>
      <w:pPr>
        <w:pStyle w:val="0"/>
        <w:jc w:val="right"/>
      </w:pPr>
      <w:r>
        <w:rPr>
          <w:sz w:val="24"/>
        </w:rPr>
        <w:t xml:space="preserve">о региональном государственном</w:t>
      </w:r>
    </w:p>
    <w:p>
      <w:pPr>
        <w:pStyle w:val="0"/>
        <w:jc w:val="right"/>
      </w:pPr>
      <w:r>
        <w:rPr>
          <w:sz w:val="24"/>
        </w:rPr>
        <w:t xml:space="preserve">контроле (надзоре) за деятельностью</w:t>
      </w:r>
    </w:p>
    <w:p>
      <w:pPr>
        <w:pStyle w:val="0"/>
        <w:jc w:val="right"/>
      </w:pPr>
      <w:r>
        <w:rPr>
          <w:sz w:val="24"/>
        </w:rPr>
        <w:t xml:space="preserve">жилищно-строительных кооперативов,</w:t>
      </w:r>
    </w:p>
    <w:p>
      <w:pPr>
        <w:pStyle w:val="0"/>
        <w:jc w:val="right"/>
      </w:pPr>
      <w:r>
        <w:rPr>
          <w:sz w:val="24"/>
        </w:rPr>
        <w:t xml:space="preserve">связанной с привлечением денежных</w:t>
      </w:r>
    </w:p>
    <w:p>
      <w:pPr>
        <w:pStyle w:val="0"/>
        <w:jc w:val="right"/>
      </w:pPr>
      <w:r>
        <w:rPr>
          <w:sz w:val="24"/>
        </w:rPr>
        <w:t xml:space="preserve">средств членов кооперативов для</w:t>
      </w:r>
    </w:p>
    <w:p>
      <w:pPr>
        <w:pStyle w:val="0"/>
        <w:jc w:val="right"/>
      </w:pPr>
      <w:r>
        <w:rPr>
          <w:sz w:val="24"/>
        </w:rPr>
        <w:t xml:space="preserve">строительства многоквартирных домов</w:t>
      </w:r>
    </w:p>
    <w:p>
      <w:pPr>
        <w:pStyle w:val="0"/>
        <w:ind w:firstLine="540"/>
        <w:jc w:val="both"/>
      </w:pPr>
      <w:r>
        <w:rPr>
          <w:sz w:val="24"/>
        </w:rPr>
      </w:r>
    </w:p>
    <w:p>
      <w:pPr>
        <w:pStyle w:val="2"/>
        <w:jc w:val="center"/>
      </w:pPr>
      <w:r>
        <w:rPr>
          <w:sz w:val="24"/>
        </w:rPr>
        <w:t xml:space="preserve">КРИТЕРИИ</w:t>
      </w:r>
    </w:p>
    <w:p>
      <w:pPr>
        <w:pStyle w:val="2"/>
        <w:jc w:val="center"/>
      </w:pPr>
      <w:r>
        <w:rPr>
          <w:sz w:val="24"/>
        </w:rPr>
        <w:t xml:space="preserve">отнесения объектов регионального государственного контроля</w:t>
      </w:r>
    </w:p>
    <w:p>
      <w:pPr>
        <w:pStyle w:val="2"/>
        <w:jc w:val="center"/>
      </w:pPr>
      <w:r>
        <w:rPr>
          <w:sz w:val="24"/>
        </w:rPr>
        <w:t xml:space="preserve">(надзора) за деятельностью жилищно-строительных</w:t>
      </w:r>
    </w:p>
    <w:p>
      <w:pPr>
        <w:pStyle w:val="2"/>
        <w:jc w:val="center"/>
      </w:pPr>
      <w:r>
        <w:rPr>
          <w:sz w:val="24"/>
        </w:rPr>
        <w:t xml:space="preserve">кооперативов, связанной с привлечением денежных средств</w:t>
      </w:r>
    </w:p>
    <w:p>
      <w:pPr>
        <w:pStyle w:val="2"/>
        <w:jc w:val="center"/>
      </w:pPr>
      <w:r>
        <w:rPr>
          <w:sz w:val="24"/>
        </w:rPr>
        <w:t xml:space="preserve">членов кооперативов для строительства многоквартирных</w:t>
      </w:r>
    </w:p>
    <w:p>
      <w:pPr>
        <w:pStyle w:val="2"/>
        <w:jc w:val="center"/>
      </w:pPr>
      <w:r>
        <w:rPr>
          <w:sz w:val="24"/>
        </w:rPr>
        <w:t xml:space="preserve">домов, к категориям риска причинения вреда</w:t>
      </w:r>
    </w:p>
    <w:p>
      <w:pPr>
        <w:pStyle w:val="2"/>
        <w:jc w:val="center"/>
      </w:pPr>
      <w:r>
        <w:rPr>
          <w:sz w:val="24"/>
        </w:rPr>
        <w:t xml:space="preserve">(ущерба) охраняемым законом ценностям</w:t>
      </w:r>
    </w:p>
    <w:p>
      <w:pPr>
        <w:pStyle w:val="0"/>
        <w:ind w:firstLine="54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551"/>
        <w:gridCol w:w="6520"/>
      </w:tblGrid>
      <w:tr>
        <w:tc>
          <w:tcPr>
            <w:tcW w:w="2551" w:type="dxa"/>
          </w:tcPr>
          <w:p>
            <w:pPr>
              <w:pStyle w:val="0"/>
              <w:jc w:val="center"/>
            </w:pPr>
            <w:r>
              <w:rPr>
                <w:sz w:val="24"/>
              </w:rPr>
              <w:t xml:space="preserve">Категория риска причинения вреда (ущерба) охраняемым законом ценностям</w:t>
            </w:r>
          </w:p>
        </w:tc>
        <w:tc>
          <w:tcPr>
            <w:tcW w:w="6520" w:type="dxa"/>
          </w:tcPr>
          <w:p>
            <w:pPr>
              <w:pStyle w:val="0"/>
              <w:jc w:val="center"/>
            </w:pPr>
            <w:r>
              <w:rPr>
                <w:sz w:val="24"/>
              </w:rPr>
              <w:t xml:space="preserve">Критерии отнесения объектов регионального государственного контроля (надзора) за деятельностью жилищно-строительных кооперативов, связанной с привлечением денежных средств членов кооперативов для строительства многоквартирных домов, к категориям риска причинения вреда (ущерба) охраняемым законом ценностям</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1. Значительный риск</w:t>
            </w:r>
          </w:p>
        </w:tc>
        <w:tc>
          <w:tcPr>
            <w:tcW w:w="6520" w:type="dxa"/>
          </w:tcPr>
          <w:p>
            <w:pPr>
              <w:pStyle w:val="0"/>
              <w:jc w:val="both"/>
            </w:pPr>
            <w:r>
              <w:rPr>
                <w:sz w:val="24"/>
              </w:rPr>
              <w:t xml:space="preserve">Объект контроля относится к категории значительного риска, если на дату принятия решения о присвоении категории риска контролируемое лицо и (или) его должностные лица считаются подвергнутыми административному наказанию за административные правонарушения, предусмотренные </w:t>
            </w:r>
            <w:hyperlink r:id="rId123"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4 статьи 14.28</w:t>
              </w:r>
            </w:hyperlink>
            <w:r>
              <w:rPr>
                <w:sz w:val="24"/>
              </w:rPr>
              <w:t xml:space="preserve">, </w:t>
            </w:r>
            <w:hyperlink r:id="rId124"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4 статьи 19.5</w:t>
              </w:r>
            </w:hyperlink>
            <w:r>
              <w:rPr>
                <w:sz w:val="24"/>
              </w:rPr>
              <w:t xml:space="preserve"> Кодекса Российской Федерации об административных правонарушениях</w:t>
            </w:r>
          </w:p>
        </w:tc>
      </w:tr>
      <w:tr>
        <w:tc>
          <w:tcPr>
            <w:tcW w:w="2551" w:type="dxa"/>
          </w:tcPr>
          <w:p>
            <w:pPr>
              <w:pStyle w:val="0"/>
            </w:pPr>
            <w:r>
              <w:rPr>
                <w:sz w:val="24"/>
              </w:rPr>
              <w:t xml:space="preserve">2. Средний риск</w:t>
            </w:r>
          </w:p>
        </w:tc>
        <w:tc>
          <w:tcPr>
            <w:tcW w:w="6520" w:type="dxa"/>
          </w:tcPr>
          <w:p>
            <w:pPr>
              <w:pStyle w:val="0"/>
              <w:jc w:val="both"/>
            </w:pPr>
            <w:r>
              <w:rPr>
                <w:sz w:val="24"/>
              </w:rPr>
              <w:t xml:space="preserve">Объект контроля относится к категории среднего риска, если на дату принятия решения о присвоении категории риска контролируемое лицо и (или) его должностные лица считаются подвергнутыми административному наказанию за административные правонарушения, предусмотренные </w:t>
            </w:r>
            <w:hyperlink r:id="rId125"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статьями 13.19.3</w:t>
              </w:r>
            </w:hyperlink>
            <w:r>
              <w:rPr>
                <w:sz w:val="24"/>
              </w:rPr>
              <w:t xml:space="preserve">, </w:t>
            </w:r>
            <w:hyperlink r:id="rId126"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14.28.1</w:t>
              </w:r>
            </w:hyperlink>
            <w:r>
              <w:rPr>
                <w:sz w:val="24"/>
              </w:rPr>
              <w:t xml:space="preserve"> Кодекса Российской Федерации об административных правонарушениях</w:t>
            </w:r>
          </w:p>
        </w:tc>
      </w:tr>
      <w:tr>
        <w:tc>
          <w:tcPr>
            <w:tcW w:w="2551" w:type="dxa"/>
          </w:tcPr>
          <w:p>
            <w:pPr>
              <w:pStyle w:val="0"/>
            </w:pPr>
            <w:r>
              <w:rPr>
                <w:sz w:val="24"/>
              </w:rPr>
              <w:t xml:space="preserve">3. Низкий риск</w:t>
            </w:r>
          </w:p>
        </w:tc>
        <w:tc>
          <w:tcPr>
            <w:tcW w:w="6520" w:type="dxa"/>
          </w:tcPr>
          <w:p>
            <w:pPr>
              <w:pStyle w:val="0"/>
              <w:jc w:val="both"/>
            </w:pPr>
            <w:r>
              <w:rPr>
                <w:sz w:val="24"/>
              </w:rPr>
              <w:t xml:space="preserve">Объект контроля относится к категории низкого риска, если на дату принятия решения о присвоении категории риска отсутствуют вступившие в законную силу постановления о назначении административного наказания за совершение административных правонарушений, предусмотренных </w:t>
            </w:r>
            <w:hyperlink r:id="rId127"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4 статьи 14.28</w:t>
              </w:r>
            </w:hyperlink>
            <w:r>
              <w:rPr>
                <w:sz w:val="24"/>
              </w:rPr>
              <w:t xml:space="preserve">, </w:t>
            </w:r>
            <w:hyperlink r:id="rId128"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частью 4 статьи 19.5</w:t>
              </w:r>
            </w:hyperlink>
            <w:r>
              <w:rPr>
                <w:sz w:val="24"/>
              </w:rPr>
              <w:t xml:space="preserve">, </w:t>
            </w:r>
            <w:hyperlink r:id="rId129"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статьей 13.19.3</w:t>
              </w:r>
            </w:hyperlink>
            <w:r>
              <w:rPr>
                <w:sz w:val="24"/>
              </w:rPr>
              <w:t xml:space="preserve">, </w:t>
            </w:r>
            <w:hyperlink r:id="rId130" w:tooltip="&quot;Кодекс Российской Федерации об административных правонарушениях&quot; от 30.12.2001 N 195-ФЗ (ред. от 09.04.2026, с изм. от 29.04.2026) {КонсультантПлюс}" w:history="0">
              <w:r>
                <w:rPr>
                  <w:color w:val="0000ff"/>
                  <w:sz w:val="24"/>
                </w:rPr>
                <w:t xml:space="preserve">статьей 14.28.1</w:t>
              </w:r>
            </w:hyperlink>
            <w:r>
              <w:rPr>
                <w:sz w:val="24"/>
              </w:rPr>
              <w:t xml:space="preserve"> Кодекса Российской Федерации об административных правонарушениях, или истек срок, в течение которого лицо считается подвергнутым административному наказанию за совершение административных правонарушений, предусмотренных частью 4 статьи 14.28, частью 4 статьи 19.5, статьей 13.19.3, статьей 14.28.1 Кодекса Российской Федерации об административных правонарушениях</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 Новосибирской области</w:t>
      </w:r>
    </w:p>
    <w:p>
      <w:pPr>
        <w:pStyle w:val="0"/>
        <w:jc w:val="right"/>
      </w:pPr>
      <w:r>
        <w:rPr>
          <w:sz w:val="24"/>
        </w:rPr>
        <w:t xml:space="preserve">от 30.12.2021 N 572-п</w:t>
      </w:r>
    </w:p>
    <w:p>
      <w:pPr>
        <w:pStyle w:val="0"/>
        <w:ind w:firstLine="540"/>
        <w:jc w:val="both"/>
      </w:pPr>
      <w:r>
        <w:rPr>
          <w:sz w:val="24"/>
        </w:rPr>
      </w:r>
    </w:p>
    <w:bookmarkStart w:id="328" w:name="P328"/>
    <w:bookmarkEnd w:id="328"/>
    <w:p>
      <w:pPr>
        <w:pStyle w:val="2"/>
        <w:jc w:val="center"/>
      </w:pPr>
      <w:r>
        <w:rPr>
          <w:sz w:val="24"/>
        </w:rPr>
        <w:t xml:space="preserve">ПЕРЕЧЕНЬ</w:t>
      </w:r>
    </w:p>
    <w:p>
      <w:pPr>
        <w:pStyle w:val="2"/>
        <w:jc w:val="center"/>
      </w:pPr>
      <w:r>
        <w:rPr>
          <w:sz w:val="24"/>
        </w:rPr>
        <w:t xml:space="preserve">ИНДИКАТОРОВ РИСКА НАРУШЕНИЯ ОБЯЗАТЕЛЬНЫХ ТРЕБОВАНИЙ</w:t>
      </w:r>
    </w:p>
    <w:p>
      <w:pPr>
        <w:pStyle w:val="2"/>
        <w:jc w:val="center"/>
      </w:pPr>
      <w:r>
        <w:rPr>
          <w:sz w:val="24"/>
        </w:rPr>
        <w:t xml:space="preserve">ПРИ ОСУЩЕСТВЛЕНИИ РЕГИОНАЛЬНОГО ГОСУДАРСТВЕННОГО КОНТРОЛЯ</w:t>
      </w:r>
    </w:p>
    <w:p>
      <w:pPr>
        <w:pStyle w:val="2"/>
        <w:jc w:val="center"/>
      </w:pPr>
      <w:r>
        <w:rPr>
          <w:sz w:val="24"/>
        </w:rPr>
        <w:t xml:space="preserve">(НАДЗОРА) ЗА ДЕЯТЕЛЬНОСТЬЮ ЖИЛИЩНО-СТРОИТЕЛЬНЫХ</w:t>
      </w:r>
    </w:p>
    <w:p>
      <w:pPr>
        <w:pStyle w:val="2"/>
        <w:jc w:val="center"/>
      </w:pPr>
      <w:r>
        <w:rPr>
          <w:sz w:val="24"/>
        </w:rPr>
        <w:t xml:space="preserve">КООПЕРАТИВОВ, СВЯЗАННОЙ С ПРИВЛЕЧЕНИЕМ ДЕНЕЖНЫХ СРЕДСТВ</w:t>
      </w:r>
    </w:p>
    <w:p>
      <w:pPr>
        <w:pStyle w:val="2"/>
        <w:jc w:val="center"/>
      </w:pPr>
      <w:r>
        <w:rPr>
          <w:sz w:val="24"/>
        </w:rPr>
        <w:t xml:space="preserve">ЧЛЕНОВ КООПЕРАТИВОВ ДЛЯ СТРОИТЕЛЬСТВА МНОГОКВАРТИРНЫХ ДОМОВ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hyperlink r:id="rId131" w:tooltip="Постановление Правительства Новосибирской области от 11.07.2023 N 300-п &quot;О внесении изменения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color w:val="392c69"/>
                <w:sz w:val="24"/>
              </w:rPr>
              <w:t xml:space="preserve"> Правительства Новосибирской области</w:t>
            </w:r>
          </w:p>
          <w:p>
            <w:pPr>
              <w:pStyle w:val="0"/>
              <w:jc w:val="center"/>
            </w:pPr>
            <w:r>
              <w:rPr>
                <w:color w:val="392c69"/>
                <w:sz w:val="24"/>
              </w:rPr>
              <w:t xml:space="preserve">от 11.07.2023 N 300-п)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Выявление министерством строительства Новосибирской области по результатам мониторинга официального сайта арбитражного суда в информационно-телекоммуникационной сети "Интернет" информации о вынесении арбитражным судом определения о принятии заявления о признании жилищно-строительного кооператива банкротом.</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Правительства Новосибирской области</w:t>
      </w:r>
    </w:p>
    <w:p>
      <w:pPr>
        <w:pStyle w:val="0"/>
        <w:jc w:val="right"/>
      </w:pPr>
      <w:r>
        <w:rPr>
          <w:sz w:val="24"/>
        </w:rPr>
        <w:t xml:space="preserve">от 30.12.2021 N 572-п</w:t>
      </w:r>
    </w:p>
    <w:p>
      <w:pPr>
        <w:pStyle w:val="0"/>
        <w:ind w:firstLine="540"/>
        <w:jc w:val="both"/>
      </w:pPr>
      <w:r>
        <w:rPr>
          <w:sz w:val="24"/>
        </w:rPr>
      </w:r>
    </w:p>
    <w:bookmarkStart w:id="349" w:name="P349"/>
    <w:bookmarkEnd w:id="349"/>
    <w:p>
      <w:pPr>
        <w:pStyle w:val="2"/>
        <w:jc w:val="center"/>
      </w:pPr>
      <w:r>
        <w:rPr>
          <w:sz w:val="24"/>
        </w:rPr>
        <w:t xml:space="preserve">КЛЮЧЕВЫЕ ПОКАЗАТЕЛИ И ИХ ЦЕЛЕВЫЕ ЗНАЧЕНИЯ, ИНДИКАТИВНЫЕ</w:t>
      </w:r>
    </w:p>
    <w:p>
      <w:pPr>
        <w:pStyle w:val="2"/>
        <w:jc w:val="center"/>
      </w:pPr>
      <w:r>
        <w:rPr>
          <w:sz w:val="24"/>
        </w:rPr>
        <w:t xml:space="preserve">ПОКАЗАТЕЛИ РЕГИОНАЛЬНОГО ГОСУДАРСТВЕННОГО КОНТРОЛЯ (НАДЗОРА)</w:t>
      </w:r>
    </w:p>
    <w:p>
      <w:pPr>
        <w:pStyle w:val="2"/>
        <w:jc w:val="center"/>
      </w:pPr>
      <w:r>
        <w:rPr>
          <w:sz w:val="24"/>
        </w:rPr>
        <w:t xml:space="preserve">ЗА ДЕЯТЕЛЬНОСТЬЮ ЖИЛИЩНО-СТРОИТЕЛЬНЫХ КООПЕРАТИВОВ,</w:t>
      </w:r>
    </w:p>
    <w:p>
      <w:pPr>
        <w:pStyle w:val="2"/>
        <w:jc w:val="center"/>
      </w:pPr>
      <w:r>
        <w:rPr>
          <w:sz w:val="24"/>
        </w:rPr>
        <w:t xml:space="preserve">ОСУЩЕСТВЛЯЮЩИХ СТРОИТЕЛЬСТВО МНОГОКВАРТИРНЫХ ДОМОВ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Новосибирской области</w:t>
            </w:r>
          </w:p>
          <w:p>
            <w:pPr>
              <w:pStyle w:val="0"/>
              <w:jc w:val="center"/>
            </w:pPr>
            <w:r>
              <w:rPr>
                <w:color w:val="392c69"/>
                <w:sz w:val="24"/>
              </w:rPr>
              <w:t xml:space="preserve">от 23.09.2024 </w:t>
            </w:r>
            <w:hyperlink r:id="rId132" w:tooltip="Постановление Правительства Новосибирской области от 23.09.2024 N 432-п &quot;О внесении изменений в постановление Правительства Новосибирской области от 30.12.2021 N 572-п&quot; {КонсультантПлюс}" w:history="0">
              <w:r>
                <w:rPr>
                  <w:color w:val="0000ff"/>
                  <w:sz w:val="24"/>
                </w:rPr>
                <w:t xml:space="preserve">N 432-п</w:t>
              </w:r>
            </w:hyperlink>
            <w:r>
              <w:rPr>
                <w:color w:val="392c69"/>
                <w:sz w:val="24"/>
              </w:rPr>
              <w:t xml:space="preserve">, от 15.07.2025 </w:t>
            </w:r>
            <w:hyperlink r:id="rId133"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N 311-п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sectPr>
          <w:headerReference w:type="default" r:id="rId6"/>
          <w:headerReference w:type="first" r:id="rId7"/>
          <w:footerReference w:type="default" r:id="rId12"/>
          <w:footerReference w:type="first" r:id="rId13"/>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020"/>
        <w:gridCol w:w="3005"/>
        <w:gridCol w:w="1304"/>
        <w:gridCol w:w="3855"/>
        <w:gridCol w:w="1020"/>
        <w:gridCol w:w="3402"/>
      </w:tblGrid>
      <w:tr>
        <w:tc>
          <w:tcPr>
            <w:tcW w:w="1020" w:type="dxa"/>
          </w:tcPr>
          <w:p>
            <w:pPr>
              <w:pStyle w:val="0"/>
              <w:jc w:val="center"/>
            </w:pPr>
            <w:r>
              <w:rPr>
                <w:sz w:val="24"/>
              </w:rPr>
              <w:t xml:space="preserve">Номер (индекс) показателя</w:t>
            </w:r>
          </w:p>
        </w:tc>
        <w:tc>
          <w:tcPr>
            <w:tcW w:w="3005" w:type="dxa"/>
          </w:tcPr>
          <w:p>
            <w:pPr>
              <w:pStyle w:val="0"/>
              <w:jc w:val="center"/>
            </w:pPr>
            <w:r>
              <w:rPr>
                <w:sz w:val="24"/>
              </w:rPr>
              <w:t xml:space="preserve">Наименование показателя</w:t>
            </w:r>
          </w:p>
        </w:tc>
        <w:tc>
          <w:tcPr>
            <w:tcW w:w="1304" w:type="dxa"/>
          </w:tcPr>
          <w:p>
            <w:pPr>
              <w:pStyle w:val="0"/>
              <w:jc w:val="center"/>
            </w:pPr>
            <w:r>
              <w:rPr>
                <w:sz w:val="24"/>
              </w:rPr>
              <w:t xml:space="preserve">Формула расчета</w:t>
            </w:r>
          </w:p>
        </w:tc>
        <w:tc>
          <w:tcPr>
            <w:tcW w:w="3855" w:type="dxa"/>
          </w:tcPr>
          <w:p>
            <w:pPr>
              <w:pStyle w:val="0"/>
              <w:jc w:val="center"/>
            </w:pPr>
            <w:r>
              <w:rPr>
                <w:sz w:val="24"/>
              </w:rPr>
              <w:t xml:space="preserve">Комментарии (интерпретация значений)</w:t>
            </w:r>
          </w:p>
        </w:tc>
        <w:tc>
          <w:tcPr>
            <w:tcW w:w="1020" w:type="dxa"/>
          </w:tcPr>
          <w:p>
            <w:pPr>
              <w:pStyle w:val="0"/>
              <w:jc w:val="center"/>
            </w:pPr>
            <w:r>
              <w:rPr>
                <w:sz w:val="24"/>
              </w:rPr>
              <w:t xml:space="preserve">Целевые значения показателей</w:t>
            </w:r>
          </w:p>
        </w:tc>
        <w:tc>
          <w:tcPr>
            <w:tcW w:w="3402" w:type="dxa"/>
          </w:tcPr>
          <w:p>
            <w:pPr>
              <w:pStyle w:val="0"/>
              <w:jc w:val="center"/>
            </w:pPr>
            <w:r>
              <w:rPr>
                <w:sz w:val="24"/>
              </w:rPr>
              <w:t xml:space="preserve">Источник данных для определения значения показателя</w:t>
            </w:r>
          </w:p>
        </w:tc>
      </w:tr>
      <w:tr>
        <w:tc>
          <w:tcPr>
            <w:tcW w:w="13606" w:type="dxa"/>
            <w:gridSpan w:val="6"/>
          </w:tcPr>
          <w:p>
            <w:pPr>
              <w:pStyle w:val="0"/>
              <w:jc w:val="center"/>
              <w:outlineLvl w:val="1"/>
            </w:pPr>
            <w:r>
              <w:rPr>
                <w:sz w:val="24"/>
              </w:rPr>
              <w:t xml:space="preserve">Ключевые показатели</w:t>
            </w:r>
          </w:p>
        </w:tc>
      </w:tr>
      <w:tr>
        <w:tc>
          <w:tcPr>
            <w:tcW w:w="1020" w:type="dxa"/>
          </w:tcPr>
          <w:p>
            <w:pPr>
              <w:pStyle w:val="0"/>
              <w:jc w:val="center"/>
              <w:outlineLvl w:val="2"/>
            </w:pPr>
            <w:r>
              <w:rPr>
                <w:sz w:val="24"/>
              </w:rPr>
              <w:t xml:space="preserve">А</w:t>
            </w:r>
          </w:p>
        </w:tc>
        <w:tc>
          <w:tcPr>
            <w:tcW w:w="12586" w:type="dxa"/>
            <w:gridSpan w:val="5"/>
          </w:tcPr>
          <w:p>
            <w:pPr>
              <w:pStyle w:val="0"/>
            </w:pPr>
            <w:r>
              <w:rPr>
                <w:sz w:val="24"/>
              </w:rPr>
              <w:t xml:space="preserve">Показатели результативности, отражающие уровень безопасности охраняемых законом ценностей, выражающийся в минимизации причинения им вреда (ущерба)</w:t>
            </w:r>
          </w:p>
        </w:tc>
      </w:tr>
      <w:tr>
        <w:tblPrEx>
          <w:tblBorders>
            <w:insideH w:val="none"/>
          </w:tblBorders>
        </w:tblPrEx>
        <w:tc>
          <w:tcPr>
            <w:tcW w:w="1020" w:type="dxa"/>
            <w:tcBorders>
              <w:bottom w:val="none"/>
            </w:tcBorders>
          </w:tcPr>
          <w:p>
            <w:pPr>
              <w:pStyle w:val="0"/>
              <w:jc w:val="center"/>
            </w:pPr>
            <w:r>
              <w:rPr>
                <w:sz w:val="24"/>
              </w:rPr>
              <w:t xml:space="preserve">А.3.1</w:t>
            </w:r>
          </w:p>
        </w:tc>
        <w:tc>
          <w:tcPr>
            <w:tcW w:w="3005" w:type="dxa"/>
            <w:tcBorders>
              <w:bottom w:val="none"/>
            </w:tcBorders>
          </w:tcPr>
          <w:p>
            <w:pPr>
              <w:pStyle w:val="0"/>
            </w:pPr>
            <w:r>
              <w:rPr>
                <w:sz w:val="24"/>
              </w:rPr>
              <w:t xml:space="preserve">Доля введенных в эксплуатацию объектов, строящихся жилищно-строительных кооперативов (далее - ЖСК), к общему количеству объектов, строящихся ЖСК (Кж)</w:t>
            </w:r>
          </w:p>
        </w:tc>
        <w:tc>
          <w:tcPr>
            <w:tcW w:w="1304" w:type="dxa"/>
            <w:tcBorders>
              <w:bottom w:val="none"/>
            </w:tcBorders>
          </w:tcPr>
          <w:p>
            <w:pPr>
              <w:pStyle w:val="0"/>
              <w:jc w:val="center"/>
            </w:pPr>
            <w:r>
              <w:rPr>
                <w:sz w:val="24"/>
              </w:rPr>
              <w:t xml:space="preserve">Кж = Квв / Кжск x 100%</w:t>
            </w:r>
          </w:p>
        </w:tc>
        <w:tc>
          <w:tcPr>
            <w:tcW w:w="3855" w:type="dxa"/>
            <w:tcBorders>
              <w:bottom w:val="none"/>
            </w:tcBorders>
          </w:tcPr>
          <w:p>
            <w:pPr>
              <w:pStyle w:val="0"/>
            </w:pPr>
            <w:r>
              <w:rPr>
                <w:sz w:val="24"/>
              </w:rPr>
              <w:t xml:space="preserve">Квв - количество введенных в эксплуатацию объектов, строящихся ЖСК;</w:t>
            </w:r>
          </w:p>
          <w:p>
            <w:pPr>
              <w:pStyle w:val="0"/>
            </w:pPr>
            <w:r>
              <w:rPr>
                <w:sz w:val="24"/>
              </w:rPr>
              <w:t xml:space="preserve">Кжск - общее количество объектов, строящихся ЖСК</w:t>
            </w:r>
          </w:p>
        </w:tc>
        <w:tc>
          <w:tcPr>
            <w:tcW w:w="1020" w:type="dxa"/>
            <w:tcBorders>
              <w:bottom w:val="none"/>
            </w:tcBorders>
          </w:tcPr>
          <w:p>
            <w:pPr>
              <w:pStyle w:val="0"/>
            </w:pPr>
            <w:r>
              <w:rPr>
                <w:sz w:val="24"/>
              </w:rPr>
              <w:t xml:space="preserve">не менее 30%</w:t>
            </w:r>
          </w:p>
        </w:tc>
        <w:tc>
          <w:tcPr>
            <w:tcW w:w="3402" w:type="dxa"/>
            <w:tcBorders>
              <w:bottom w:val="none"/>
            </w:tcBorders>
          </w:tcPr>
          <w:p>
            <w:pPr>
              <w:pStyle w:val="0"/>
            </w:pPr>
            <w:r>
              <w:rPr>
                <w:sz w:val="24"/>
              </w:rPr>
              <w:t xml:space="preserve">информация из Единой информационной системы жилищного строительства (далее - ЕИСЖС), информация, полученная в результате контрольной (надзорной) деятельности</w:t>
            </w:r>
          </w:p>
        </w:tc>
      </w:tr>
      <w:tr>
        <w:tblPrEx>
          <w:tblBorders>
            <w:insideH w:val="none"/>
          </w:tblBorders>
        </w:tblPrEx>
        <w:tc>
          <w:tcPr>
            <w:tcW w:w="13606" w:type="dxa"/>
            <w:gridSpan w:val="6"/>
            <w:tcBorders>
              <w:top w:val="none"/>
            </w:tcBorders>
          </w:tcPr>
          <w:p>
            <w:pPr>
              <w:pStyle w:val="0"/>
              <w:jc w:val="both"/>
            </w:pPr>
            <w:r>
              <w:rPr>
                <w:sz w:val="24"/>
              </w:rPr>
              <w:t xml:space="preserve">(в ред. </w:t>
            </w:r>
            <w:hyperlink r:id="rId134"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постановления</w:t>
              </w:r>
            </w:hyperlink>
            <w:r>
              <w:rPr>
                <w:sz w:val="24"/>
              </w:rPr>
              <w:t xml:space="preserve"> Правительства Новосибирской области от 15.07.2025 N 311-п)</w:t>
            </w:r>
          </w:p>
        </w:tc>
      </w:tr>
      <w:tr>
        <w:tc>
          <w:tcPr>
            <w:tcW w:w="13606" w:type="dxa"/>
            <w:gridSpan w:val="6"/>
          </w:tcPr>
          <w:p>
            <w:pPr>
              <w:pStyle w:val="0"/>
              <w:jc w:val="center"/>
              <w:outlineLvl w:val="1"/>
            </w:pPr>
            <w:r>
              <w:rPr>
                <w:sz w:val="24"/>
              </w:rPr>
              <w:t xml:space="preserve">Индикативные показатели</w:t>
            </w:r>
          </w:p>
        </w:tc>
      </w:tr>
      <w:tr>
        <w:tc>
          <w:tcPr>
            <w:tcW w:w="1020" w:type="dxa"/>
          </w:tcPr>
          <w:p>
            <w:pPr>
              <w:pStyle w:val="0"/>
              <w:jc w:val="center"/>
              <w:outlineLvl w:val="2"/>
            </w:pPr>
            <w:r>
              <w:rPr>
                <w:sz w:val="24"/>
              </w:rPr>
              <w:t xml:space="preserve">В</w:t>
            </w:r>
          </w:p>
        </w:tc>
        <w:tc>
          <w:tcPr>
            <w:tcW w:w="12586" w:type="dxa"/>
            <w:gridSpan w:val="5"/>
          </w:tcPr>
          <w:p>
            <w:pPr>
              <w:pStyle w:val="0"/>
            </w:pPr>
            <w:r>
              <w:rPr>
                <w:sz w:val="24"/>
              </w:rPr>
              <w:t xml:space="preserve">Индикативные показатели, характеризующие различные аспекты подконтрольной сферы и осуществления контроля (надзора)</w:t>
            </w:r>
          </w:p>
        </w:tc>
      </w:tr>
      <w:tr>
        <w:tc>
          <w:tcPr>
            <w:tcW w:w="1020" w:type="dxa"/>
          </w:tcPr>
          <w:p>
            <w:pPr>
              <w:pStyle w:val="0"/>
              <w:jc w:val="center"/>
              <w:outlineLvl w:val="3"/>
            </w:pPr>
            <w:r>
              <w:rPr>
                <w:sz w:val="24"/>
              </w:rPr>
              <w:t xml:space="preserve">В.1</w:t>
            </w:r>
          </w:p>
        </w:tc>
        <w:tc>
          <w:tcPr>
            <w:tcW w:w="12586" w:type="dxa"/>
            <w:gridSpan w:val="5"/>
          </w:tcPr>
          <w:p>
            <w:pPr>
              <w:pStyle w:val="0"/>
            </w:pPr>
            <w:r>
              <w:rPr>
                <w:sz w:val="24"/>
              </w:rPr>
              <w:t xml:space="preserve">Индикативные показатели, характеризующие непосредственное состояние подконтрольной сферы, в том числе уровень вмешательства в деятельность контролируемых лиц</w:t>
            </w:r>
          </w:p>
        </w:tc>
      </w:tr>
      <w:tr>
        <w:tc>
          <w:tcPr>
            <w:tcW w:w="1020" w:type="dxa"/>
          </w:tcPr>
          <w:p>
            <w:pPr>
              <w:pStyle w:val="0"/>
              <w:jc w:val="center"/>
            </w:pPr>
            <w:r>
              <w:rPr>
                <w:sz w:val="24"/>
              </w:rPr>
              <w:t xml:space="preserve">В.1.8</w:t>
            </w:r>
          </w:p>
        </w:tc>
        <w:tc>
          <w:tcPr>
            <w:tcW w:w="3005" w:type="dxa"/>
          </w:tcPr>
          <w:p>
            <w:pPr>
              <w:pStyle w:val="0"/>
            </w:pPr>
            <w:r>
              <w:rPr>
                <w:sz w:val="24"/>
              </w:rPr>
              <w:t xml:space="preserve">Доля контрольных (надзорных) мероприятий, проведенных в отношении контролируемых лиц (ЖСК), осуществляющих строительство с привлечением денежных средств участников строительства, по результатам которых не было выявлено нарушений, с которыми связано причинение вреда (ущерба) охраняемым законом ценностям или возникновение угрозы причинения вреда (ущерба) охраняемым законом ценностям (Д не)</w:t>
            </w:r>
          </w:p>
        </w:tc>
        <w:tc>
          <w:tcPr>
            <w:tcW w:w="1304" w:type="dxa"/>
          </w:tcPr>
          <w:p>
            <w:pPr>
              <w:pStyle w:val="0"/>
              <w:jc w:val="center"/>
            </w:pPr>
            <w:r>
              <w:rPr>
                <w:sz w:val="24"/>
              </w:rPr>
              <w:t xml:space="preserve">Д не = К не выяв / К мер x 100</w:t>
            </w:r>
          </w:p>
        </w:tc>
        <w:tc>
          <w:tcPr>
            <w:tcW w:w="3855" w:type="dxa"/>
          </w:tcPr>
          <w:p>
            <w:pPr>
              <w:pStyle w:val="0"/>
            </w:pPr>
            <w:r>
              <w:rPr>
                <w:sz w:val="24"/>
              </w:rPr>
              <w:t xml:space="preserve">К не выяв - количество проведенных контрольных (надзорных) мероприятий в отношении контролируемых лиц (ЖСК), осуществляющих строительство с привлечением денежных средств участников строительства, по результатам которых не было выявлено нарушений;</w:t>
            </w:r>
          </w:p>
          <w:p>
            <w:pPr>
              <w:pStyle w:val="0"/>
            </w:pPr>
            <w:r>
              <w:rPr>
                <w:sz w:val="24"/>
              </w:rPr>
              <w:t xml:space="preserve">К мер - общее количество проведенных контрольных (надзорных) мероприятий в отношении контролируемых лиц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t xml:space="preserve">документы, полученные в результате контрольной (надзорной) деятельности</w:t>
            </w:r>
          </w:p>
        </w:tc>
      </w:tr>
      <w:tr>
        <w:tc>
          <w:tcPr>
            <w:tcW w:w="1020" w:type="dxa"/>
          </w:tcPr>
          <w:p>
            <w:pPr>
              <w:pStyle w:val="0"/>
              <w:jc w:val="center"/>
            </w:pPr>
            <w:r>
              <w:rPr>
                <w:sz w:val="24"/>
              </w:rPr>
              <w:t xml:space="preserve">В.1.9</w:t>
            </w:r>
          </w:p>
        </w:tc>
        <w:tc>
          <w:tcPr>
            <w:tcW w:w="3005" w:type="dxa"/>
          </w:tcPr>
          <w:p>
            <w:pPr>
              <w:pStyle w:val="0"/>
            </w:pPr>
            <w:r>
              <w:rPr>
                <w:sz w:val="24"/>
              </w:rPr>
              <w:t xml:space="preserve">Среднее количество контрольных (надзорных) мероприятий, проведенных в отношении одной организации (ЖСК) (К сред)</w:t>
            </w:r>
          </w:p>
        </w:tc>
        <w:tc>
          <w:tcPr>
            <w:tcW w:w="1304" w:type="dxa"/>
          </w:tcPr>
          <w:p>
            <w:pPr>
              <w:pStyle w:val="0"/>
              <w:jc w:val="center"/>
            </w:pPr>
            <w:r>
              <w:rPr>
                <w:sz w:val="24"/>
              </w:rPr>
              <w:t xml:space="preserve">К сред = К мер / К общ</w:t>
            </w:r>
          </w:p>
        </w:tc>
        <w:tc>
          <w:tcPr>
            <w:tcW w:w="3855" w:type="dxa"/>
          </w:tcPr>
          <w:p>
            <w:pPr>
              <w:pStyle w:val="0"/>
            </w:pPr>
            <w:r>
              <w:rPr>
                <w:sz w:val="24"/>
              </w:rPr>
              <w:t xml:space="preserve">К мер - общее количество проведенных контрольных (надзорных) мероприятий в отношении контролируемых лиц (ЖСК), осуществляющих строительство с привлечением денежных средств участников строительства;</w:t>
            </w:r>
          </w:p>
          <w:p>
            <w:pPr>
              <w:pStyle w:val="0"/>
            </w:pPr>
            <w:r>
              <w:rPr>
                <w:sz w:val="24"/>
              </w:rPr>
              <w:t xml:space="preserve">К общ - общее количество контролируемых лиц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outlineLvl w:val="3"/>
            </w:pPr>
            <w:r>
              <w:rPr>
                <w:sz w:val="24"/>
              </w:rPr>
              <w:t xml:space="preserve">В.2</w:t>
            </w:r>
          </w:p>
        </w:tc>
        <w:tc>
          <w:tcPr>
            <w:tcW w:w="12586" w:type="dxa"/>
            <w:gridSpan w:val="5"/>
          </w:tcPr>
          <w:p>
            <w:pPr>
              <w:pStyle w:val="0"/>
            </w:pPr>
            <w:r>
              <w:rPr>
                <w:sz w:val="24"/>
              </w:rPr>
              <w:t xml:space="preserve">Индикативные показатели, характеризующие качество проводимых мероприятий, в том числе в части их направленности на устранение максимального объема потенциального вреда (ущерба) охраняемым законом ценностям</w:t>
            </w:r>
          </w:p>
        </w:tc>
      </w:tr>
      <w:tr>
        <w:tc>
          <w:tcPr>
            <w:tcW w:w="1020" w:type="dxa"/>
          </w:tcPr>
          <w:p>
            <w:pPr>
              <w:pStyle w:val="0"/>
              <w:jc w:val="center"/>
            </w:pPr>
            <w:r>
              <w:rPr>
                <w:sz w:val="24"/>
              </w:rPr>
              <w:t xml:space="preserve">В.2.1</w:t>
            </w:r>
          </w:p>
        </w:tc>
        <w:tc>
          <w:tcPr>
            <w:tcW w:w="3005" w:type="dxa"/>
          </w:tcPr>
          <w:p>
            <w:pPr>
              <w:pStyle w:val="0"/>
            </w:pPr>
            <w:r>
              <w:rPr>
                <w:sz w:val="24"/>
              </w:rPr>
              <w:t xml:space="preserve">Количество проведенных мероприятий в отношении контролируемых лиц (ЖСК)</w:t>
            </w:r>
          </w:p>
        </w:tc>
        <w:tc>
          <w:tcPr>
            <w:tcW w:w="1304" w:type="dxa"/>
          </w:tcPr>
          <w:p>
            <w:pPr>
              <w:pStyle w:val="0"/>
              <w:jc w:val="center"/>
            </w:pPr>
            <w:r>
              <w:rPr>
                <w:sz w:val="24"/>
              </w:rPr>
              <w:t xml:space="preserve">единица</w:t>
            </w:r>
          </w:p>
        </w:tc>
        <w:tc>
          <w:tcPr>
            <w:tcW w:w="3855" w:type="dxa"/>
          </w:tcPr>
          <w:p>
            <w:pPr>
              <w:pStyle w:val="0"/>
            </w:pPr>
            <w:r>
              <w:rPr>
                <w:sz w:val="24"/>
              </w:rPr>
              <w:t xml:space="preserve">показатель учитывает суммарное количество мероприятий (контрольных (надзорных) и профилактических), проведенных в отношении контролируемых лиц (ЖСК)</w:t>
            </w:r>
          </w:p>
        </w:tc>
        <w:tc>
          <w:tcPr>
            <w:tcW w:w="1020" w:type="dxa"/>
          </w:tcPr>
          <w:p>
            <w:pPr>
              <w:pStyle w:val="0"/>
            </w:pPr>
            <w:r>
              <w:rPr>
                <w:sz w:val="24"/>
              </w:rPr>
              <w:t xml:space="preserve">не используются</w:t>
            </w:r>
          </w:p>
        </w:tc>
        <w:tc>
          <w:tcPr>
            <w:tcW w:w="3402" w:type="dxa"/>
          </w:tcPr>
          <w:p>
            <w:pPr>
              <w:pStyle w:val="0"/>
            </w:pPr>
            <w:r>
              <w:rPr>
                <w:sz w:val="24"/>
              </w:rPr>
              <w:t xml:space="preserve">документы, полученные в результате контрольной (надзорной) деятельности</w:t>
            </w:r>
          </w:p>
        </w:tc>
      </w:tr>
      <w:tr>
        <w:tc>
          <w:tcPr>
            <w:tcW w:w="1020" w:type="dxa"/>
          </w:tcPr>
          <w:p>
            <w:pPr>
              <w:pStyle w:val="0"/>
              <w:jc w:val="center"/>
            </w:pPr>
            <w:r>
              <w:rPr>
                <w:sz w:val="24"/>
              </w:rPr>
              <w:t xml:space="preserve">В.2.3</w:t>
            </w:r>
          </w:p>
        </w:tc>
        <w:tc>
          <w:tcPr>
            <w:tcW w:w="3005" w:type="dxa"/>
          </w:tcPr>
          <w:p>
            <w:pPr>
              <w:pStyle w:val="0"/>
            </w:pPr>
            <w:r>
              <w:rPr>
                <w:sz w:val="24"/>
              </w:rPr>
              <w:t xml:space="preserve">Количество контролируемых лиц (ЖСК), у которых были устранены нарушения, выявленные в результате проведения контрольных (надзорных) мероприятий</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В.2.5</w:t>
            </w:r>
          </w:p>
        </w:tc>
        <w:tc>
          <w:tcPr>
            <w:tcW w:w="3005" w:type="dxa"/>
          </w:tcPr>
          <w:p>
            <w:pPr>
              <w:pStyle w:val="0"/>
            </w:pPr>
            <w:r>
              <w:rPr>
                <w:sz w:val="24"/>
              </w:rPr>
              <w:t xml:space="preserve">Количество штатных единиц, прошедших в течение последних трех лет программы переобучения или повышения квалификации</w:t>
            </w:r>
          </w:p>
        </w:tc>
        <w:tc>
          <w:tcPr>
            <w:tcW w:w="1304" w:type="dxa"/>
          </w:tcPr>
          <w:p>
            <w:pPr>
              <w:pStyle w:val="0"/>
              <w:jc w:val="center"/>
            </w:pPr>
            <w:r>
              <w:rPr>
                <w:sz w:val="24"/>
              </w:rPr>
              <w:t xml:space="preserve">единица</w:t>
            </w:r>
          </w:p>
        </w:tc>
        <w:tc>
          <w:tcPr>
            <w:tcW w:w="3855" w:type="dxa"/>
          </w:tcPr>
          <w:p>
            <w:pPr>
              <w:pStyle w:val="0"/>
            </w:pPr>
            <w:r>
              <w:rPr>
                <w:sz w:val="24"/>
              </w:rPr>
              <w:t xml:space="preserve">показатель устанавливается из числа штатных единиц, в должностные обязанности которых входит выполнение контрольно-надзорных функций</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В.2.8</w:t>
            </w:r>
          </w:p>
        </w:tc>
        <w:tc>
          <w:tcPr>
            <w:tcW w:w="3005" w:type="dxa"/>
          </w:tcPr>
          <w:p>
            <w:pPr>
              <w:pStyle w:val="0"/>
            </w:pPr>
            <w:r>
              <w:rPr>
                <w:sz w:val="24"/>
              </w:rPr>
              <w:t xml:space="preserve">Количество жалоб, в отношении которых контрольным (надзорным) органом был нарушен срок рассмотрения</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В.2.9</w:t>
            </w:r>
          </w:p>
        </w:tc>
        <w:tc>
          <w:tcPr>
            <w:tcW w:w="3005" w:type="dxa"/>
          </w:tcPr>
          <w:p>
            <w:pPr>
              <w:pStyle w:val="0"/>
            </w:pPr>
            <w:r>
              <w:rPr>
                <w:sz w:val="24"/>
              </w:rPr>
              <w:t xml:space="preserve">Количество жалоб, поданных контролируемыми лицами (ЖСК)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действий (бездействия) должностных лиц контрольных (надзорных) органов недействительными</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outlineLvl w:val="3"/>
            </w:pPr>
            <w:r>
              <w:rPr>
                <w:sz w:val="24"/>
              </w:rPr>
              <w:t xml:space="preserve">В.3</w:t>
            </w:r>
          </w:p>
        </w:tc>
        <w:tc>
          <w:tcPr>
            <w:tcW w:w="12586" w:type="dxa"/>
            <w:gridSpan w:val="5"/>
          </w:tcPr>
          <w:p>
            <w:pPr>
              <w:pStyle w:val="0"/>
            </w:pPr>
            <w:r>
              <w:rPr>
                <w:sz w:val="24"/>
              </w:rPr>
              <w:t xml:space="preserve">Индикативные показатели, характеризующие параметры проведенных контрольными (надзорными) органами мероприятий</w:t>
            </w:r>
          </w:p>
        </w:tc>
      </w:tr>
      <w:tr>
        <w:tc>
          <w:tcPr>
            <w:tcW w:w="1020" w:type="dxa"/>
          </w:tcPr>
          <w:p>
            <w:pPr>
              <w:pStyle w:val="0"/>
              <w:jc w:val="center"/>
              <w:outlineLvl w:val="4"/>
            </w:pPr>
            <w:r>
              <w:rPr>
                <w:sz w:val="24"/>
              </w:rPr>
              <w:t xml:space="preserve">В.3.1</w:t>
            </w:r>
          </w:p>
        </w:tc>
        <w:tc>
          <w:tcPr>
            <w:tcW w:w="12586" w:type="dxa"/>
            <w:gridSpan w:val="5"/>
          </w:tcPr>
          <w:p>
            <w:pPr>
              <w:pStyle w:val="0"/>
            </w:pPr>
            <w:r>
              <w:rPr>
                <w:sz w:val="24"/>
              </w:rPr>
              <w:t xml:space="preserve">Контрольные (надзорные) мероприятия</w:t>
            </w:r>
          </w:p>
        </w:tc>
      </w:tr>
      <w:tr>
        <w:tc>
          <w:tcPr>
            <w:tcW w:w="1020" w:type="dxa"/>
          </w:tcPr>
          <w:p>
            <w:pPr>
              <w:pStyle w:val="0"/>
              <w:jc w:val="center"/>
            </w:pPr>
            <w:r>
              <w:rPr>
                <w:sz w:val="24"/>
              </w:rPr>
              <w:t xml:space="preserve">В.3.1.1</w:t>
            </w:r>
          </w:p>
        </w:tc>
        <w:tc>
          <w:tcPr>
            <w:tcW w:w="3005" w:type="dxa"/>
          </w:tcPr>
          <w:p>
            <w:pPr>
              <w:pStyle w:val="0"/>
            </w:pPr>
            <w:r>
              <w:rPr>
                <w:sz w:val="24"/>
              </w:rPr>
              <w:t xml:space="preserve">Общее количество проведенных контрольных (надзорных) мероприятий в отношении ЖСК (внеплановые документарные проверки, мероприятия без взаимодействия)</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t xml:space="preserve">документы, полученные в результате контрольной (надзорной) деятельности</w:t>
            </w:r>
          </w:p>
        </w:tc>
      </w:tr>
      <w:tr>
        <w:tc>
          <w:tcPr>
            <w:tcW w:w="1020" w:type="dxa"/>
          </w:tcPr>
          <w:p>
            <w:pPr>
              <w:pStyle w:val="0"/>
              <w:jc w:val="center"/>
            </w:pPr>
            <w:r>
              <w:rPr>
                <w:sz w:val="24"/>
              </w:rPr>
              <w:t xml:space="preserve">В.3.1.3</w:t>
            </w:r>
          </w:p>
        </w:tc>
        <w:tc>
          <w:tcPr>
            <w:tcW w:w="3005" w:type="dxa"/>
          </w:tcPr>
          <w:p>
            <w:pPr>
              <w:pStyle w:val="0"/>
            </w:pPr>
            <w:r>
              <w:rPr>
                <w:sz w:val="24"/>
              </w:rPr>
              <w:t xml:space="preserve">Общее количество проведенных внеплановых контрольных (надзорных) мероприятий в отношении ЖСК</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В.3.1.4</w:t>
            </w:r>
          </w:p>
        </w:tc>
        <w:tc>
          <w:tcPr>
            <w:tcW w:w="3005" w:type="dxa"/>
          </w:tcPr>
          <w:p>
            <w:pPr>
              <w:pStyle w:val="0"/>
            </w:pPr>
            <w:r>
              <w:rPr>
                <w:sz w:val="24"/>
              </w:rPr>
              <w:t xml:space="preserve">Доля контрольных (надзорных) мероприятий, проведенных без взаимодействия с контролируемыми лицами (ЖСК), от общего количества проведенных контрольных (надзорных) мероприятий (Д без вз)</w:t>
            </w:r>
          </w:p>
        </w:tc>
        <w:tc>
          <w:tcPr>
            <w:tcW w:w="1304" w:type="dxa"/>
          </w:tcPr>
          <w:p>
            <w:pPr>
              <w:pStyle w:val="0"/>
              <w:jc w:val="center"/>
            </w:pPr>
            <w:r>
              <w:rPr>
                <w:sz w:val="24"/>
              </w:rPr>
              <w:t xml:space="preserve">Д без вз = К без вз / К мер x 100</w:t>
            </w:r>
          </w:p>
        </w:tc>
        <w:tc>
          <w:tcPr>
            <w:tcW w:w="3855" w:type="dxa"/>
          </w:tcPr>
          <w:p>
            <w:pPr>
              <w:pStyle w:val="0"/>
            </w:pPr>
            <w:r>
              <w:rPr>
                <w:sz w:val="24"/>
              </w:rPr>
              <w:t xml:space="preserve">К без вз - общее количество контрольных (надзорных) мероприятий, проведенных без взаимодействия с контролируемыми лицами (ЖСК);</w:t>
            </w:r>
          </w:p>
          <w:p>
            <w:pPr>
              <w:pStyle w:val="0"/>
            </w:pPr>
            <w:r>
              <w:rPr>
                <w:sz w:val="24"/>
              </w:rPr>
              <w:t xml:space="preserve">К мер - общее количество проведенных контрольных (надзорных) мероприятий в отношении контролируемых лиц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В.3.1.6</w:t>
            </w:r>
          </w:p>
        </w:tc>
        <w:tc>
          <w:tcPr>
            <w:tcW w:w="3005" w:type="dxa"/>
          </w:tcPr>
          <w:p>
            <w:pPr>
              <w:pStyle w:val="0"/>
            </w:pPr>
            <w:r>
              <w:rPr>
                <w:sz w:val="24"/>
              </w:rPr>
              <w:t xml:space="preserve">Доля контрольных (надзорных) мероприятий с взаимодействием с контролируемыми лицами (внеплановых документарных проверок) (ЖСК), проведенных с использованием государственной информационной системы "Типовое облачное решение по автоматизации контрольной (надзорной) деятельности", от общего количества контрольных (надзорных) мероприятий, проведенных с взаимодействием с контролируемыми лицами (ЖСК) (внеплановых документарных проверок) (Д тор)</w:t>
            </w:r>
          </w:p>
        </w:tc>
        <w:tc>
          <w:tcPr>
            <w:tcW w:w="1304" w:type="dxa"/>
          </w:tcPr>
          <w:p>
            <w:pPr>
              <w:pStyle w:val="0"/>
              <w:jc w:val="center"/>
            </w:pPr>
            <w:r>
              <w:rPr>
                <w:sz w:val="24"/>
              </w:rPr>
              <w:t xml:space="preserve">Д тор = К тор / К взаим x 100</w:t>
            </w:r>
          </w:p>
        </w:tc>
        <w:tc>
          <w:tcPr>
            <w:tcW w:w="3855" w:type="dxa"/>
          </w:tcPr>
          <w:p>
            <w:pPr>
              <w:pStyle w:val="0"/>
            </w:pPr>
            <w:r>
              <w:rPr>
                <w:sz w:val="24"/>
              </w:rPr>
              <w:t xml:space="preserve">К тор - общее количество контрольных (надзорных) мероприятий (внеплановых документарных проверок), проведенных с взаимодействием с контролируемыми лицами, в отношении ЖСК, осуществляющих строительство с привлечением денежных средств участников строительства, проведенных с использованием государственной информационной системы "Типовое облачное решение по автоматизации контрольной (надзорной) деятельности";</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в отношении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t xml:space="preserve">документы, полученные в результате контрольной (надзорной) деятельности</w:t>
            </w:r>
          </w:p>
        </w:tc>
      </w:tr>
      <w:tr>
        <w:tc>
          <w:tcPr>
            <w:tcW w:w="1020" w:type="dxa"/>
          </w:tcPr>
          <w:p>
            <w:pPr>
              <w:pStyle w:val="0"/>
              <w:jc w:val="center"/>
            </w:pPr>
            <w:r>
              <w:rPr>
                <w:sz w:val="24"/>
              </w:rPr>
              <w:t xml:space="preserve">В.3.1.7</w:t>
            </w:r>
          </w:p>
        </w:tc>
        <w:tc>
          <w:tcPr>
            <w:tcW w:w="3005" w:type="dxa"/>
          </w:tcPr>
          <w:p>
            <w:pPr>
              <w:pStyle w:val="0"/>
            </w:pPr>
            <w:r>
              <w:rPr>
                <w:sz w:val="24"/>
              </w:rPr>
              <w:t xml:space="preserve">Количество внеплановых контрольных (надзорных) мероприятий (внеплановых документарных проверок),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В.3.1.8</w:t>
            </w:r>
          </w:p>
        </w:tc>
        <w:tc>
          <w:tcPr>
            <w:tcW w:w="3005" w:type="dxa"/>
          </w:tcPr>
          <w:p>
            <w:pPr>
              <w:pStyle w:val="0"/>
            </w:pPr>
            <w:r>
              <w:rPr>
                <w:sz w:val="24"/>
              </w:rPr>
              <w:t xml:space="preserve">Количество контрольных (надзорных) мероприятий, по результатам которых выявлены нарушения обязательных требований</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В.3.1.9</w:t>
            </w:r>
          </w:p>
        </w:tc>
        <w:tc>
          <w:tcPr>
            <w:tcW w:w="3005" w:type="dxa"/>
          </w:tcPr>
          <w:p>
            <w:pPr>
              <w:pStyle w:val="0"/>
            </w:pPr>
            <w:r>
              <w:rPr>
                <w:sz w:val="24"/>
              </w:rPr>
              <w:t xml:space="preserve">Доля контрольных (надзорных) мероприятий (внеплановых документарных проверок), на результаты которых поданы жалобы (Д жалоб)</w:t>
            </w:r>
          </w:p>
        </w:tc>
        <w:tc>
          <w:tcPr>
            <w:tcW w:w="1304" w:type="dxa"/>
          </w:tcPr>
          <w:p>
            <w:pPr>
              <w:pStyle w:val="0"/>
              <w:jc w:val="center"/>
            </w:pPr>
            <w:r>
              <w:rPr>
                <w:sz w:val="24"/>
              </w:rPr>
              <w:t xml:space="preserve">Д жалоб = К жалоб / К взаим x 100</w:t>
            </w:r>
          </w:p>
        </w:tc>
        <w:tc>
          <w:tcPr>
            <w:tcW w:w="3855" w:type="dxa"/>
          </w:tcPr>
          <w:p>
            <w:pPr>
              <w:pStyle w:val="0"/>
            </w:pPr>
            <w:r>
              <w:rPr>
                <w:sz w:val="24"/>
              </w:rPr>
              <w:t xml:space="preserve">К жалоб - количество проведенных контрольных (надзорных) мероприятий (внеплановых документарных проверок) в отношении ЖСК, осуществляющих строительство с привлечением денежных средств участников строительства, на результаты которых поданы жалобы;</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в отношении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В.3.1.13</w:t>
            </w:r>
          </w:p>
        </w:tc>
        <w:tc>
          <w:tcPr>
            <w:tcW w:w="3005" w:type="dxa"/>
          </w:tcPr>
          <w:p>
            <w:pPr>
              <w:pStyle w:val="0"/>
            </w:pPr>
            <w:r>
              <w:rPr>
                <w:sz w:val="24"/>
              </w:rPr>
              <w:t xml:space="preserve">Доля контрольных (надзорных) мероприятий (внеплановых документарных проверок), результаты которых были признаны недействительными (Д нед)</w:t>
            </w:r>
          </w:p>
        </w:tc>
        <w:tc>
          <w:tcPr>
            <w:tcW w:w="1304" w:type="dxa"/>
          </w:tcPr>
          <w:p>
            <w:pPr>
              <w:pStyle w:val="0"/>
              <w:jc w:val="center"/>
            </w:pPr>
            <w:r>
              <w:rPr>
                <w:sz w:val="24"/>
              </w:rPr>
              <w:t xml:space="preserve">Д нед = К нед / К взаим x 100</w:t>
            </w:r>
          </w:p>
        </w:tc>
        <w:tc>
          <w:tcPr>
            <w:tcW w:w="3855" w:type="dxa"/>
          </w:tcPr>
          <w:p>
            <w:pPr>
              <w:pStyle w:val="0"/>
            </w:pPr>
            <w:r>
              <w:rPr>
                <w:sz w:val="24"/>
              </w:rPr>
              <w:t xml:space="preserve">К нед - количество контрольных (надзорных) мероприятий (внеплановых документарных проверок), проведенных в отношении ЖСК, осуществляющих строительство с привлечением денежных средств участников строительства, результаты которых были признаны недействительными, в том числе по решению суда и по предписанию органов прокуратуры;</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в отношении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В.3.1.14</w:t>
            </w:r>
          </w:p>
        </w:tc>
        <w:tc>
          <w:tcPr>
            <w:tcW w:w="3005" w:type="dxa"/>
          </w:tcPr>
          <w:p>
            <w:pPr>
              <w:pStyle w:val="0"/>
            </w:pPr>
            <w:r>
              <w:rPr>
                <w:sz w:val="24"/>
              </w:rPr>
              <w:t xml:space="preserve">Количество контрольных (надзорных) мероприятий (внеплановых документарных проверок), проведенных с нарушениями требований законодательства Российской Федерации, по результатам выявления которых к должностным лицам контрольных (надзорных) органов, проводившим такие контрольные (надзорные) мероприятия, применены меры дисциплинарного, административного наказания</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В.3.1.15</w:t>
            </w:r>
          </w:p>
        </w:tc>
        <w:tc>
          <w:tcPr>
            <w:tcW w:w="3005" w:type="dxa"/>
          </w:tcPr>
          <w:p>
            <w:pPr>
              <w:pStyle w:val="0"/>
            </w:pPr>
            <w:r>
              <w:rPr>
                <w:sz w:val="24"/>
              </w:rPr>
              <w:t xml:space="preserve">Доля контрольных (надзорных) мероприятий (внеплановых документарных проверок), которые не удалось провести в связи с отсутствием контролируемого лица (ЖСК) по месту нахождения, указанному в государственных информационных ресурсах (Д отсут)</w:t>
            </w:r>
          </w:p>
        </w:tc>
        <w:tc>
          <w:tcPr>
            <w:tcW w:w="1304" w:type="dxa"/>
          </w:tcPr>
          <w:p>
            <w:pPr>
              <w:pStyle w:val="0"/>
              <w:jc w:val="center"/>
            </w:pPr>
            <w:r>
              <w:rPr>
                <w:sz w:val="24"/>
              </w:rPr>
              <w:t xml:space="preserve">Д отсут = К отсут / К взаим x 100</w:t>
            </w:r>
          </w:p>
        </w:tc>
        <w:tc>
          <w:tcPr>
            <w:tcW w:w="3855" w:type="dxa"/>
          </w:tcPr>
          <w:p>
            <w:pPr>
              <w:pStyle w:val="0"/>
            </w:pPr>
            <w:r>
              <w:rPr>
                <w:sz w:val="24"/>
              </w:rPr>
              <w:t xml:space="preserve">К отсут - количество контрольных (надзорных) мероприятий (внеплановых документарных проверок) в отношении ЖСК, которые не удалось провести в связи с отсутствием контролируемого лица по месту нахождения, указанному в государственных информационных ресурсах;</w:t>
            </w:r>
          </w:p>
          <w:p>
            <w:pPr>
              <w:pStyle w:val="0"/>
            </w:pPr>
            <w:r>
              <w:rPr>
                <w:sz w:val="24"/>
              </w:rPr>
              <w:t xml:space="preserve">К взаим - общее количество контрольных (надзорных) мероприятий (внеплановых документарных проверок), проведенных с взаимодействием с контролируемыми лицами, в отношении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В.3.1.17</w:t>
            </w:r>
          </w:p>
        </w:tc>
        <w:tc>
          <w:tcPr>
            <w:tcW w:w="3005" w:type="dxa"/>
          </w:tcPr>
          <w:p>
            <w:pPr>
              <w:pStyle w:val="0"/>
            </w:pPr>
            <w:r>
              <w:rPr>
                <w:sz w:val="24"/>
              </w:rPr>
              <w:t xml:space="preserve">Доля контрольных (надзорных) мероприятий (внеплановых документарных проверок), по результатам которых материалы о выявленных нарушениях переданы в уполномоченные органы для возбуждения уголовных дел (Д угол)</w:t>
            </w:r>
          </w:p>
        </w:tc>
        <w:tc>
          <w:tcPr>
            <w:tcW w:w="1304" w:type="dxa"/>
          </w:tcPr>
          <w:p>
            <w:pPr>
              <w:pStyle w:val="0"/>
              <w:jc w:val="center"/>
            </w:pPr>
            <w:r>
              <w:rPr>
                <w:sz w:val="24"/>
              </w:rPr>
              <w:t xml:space="preserve">Д угол = К угол / К выяв x 100</w:t>
            </w:r>
          </w:p>
        </w:tc>
        <w:tc>
          <w:tcPr>
            <w:tcW w:w="3855" w:type="dxa"/>
          </w:tcPr>
          <w:p>
            <w:pPr>
              <w:pStyle w:val="0"/>
            </w:pPr>
            <w:r>
              <w:rPr>
                <w:sz w:val="24"/>
              </w:rPr>
              <w:t xml:space="preserve">К угол - количество контрольных (надзорных) мероприятий (внеплановых документарных проверок), проведенных в отношении ЖСК, осуществляющих строительство с привлечением денежных средств участников строительства, по результатам которых материалы о выявленных нарушениях переданы в уполномоченные органы для возбуждения уголовных дел;</w:t>
            </w:r>
          </w:p>
          <w:p>
            <w:pPr>
              <w:pStyle w:val="0"/>
            </w:pPr>
            <w:r>
              <w:rPr>
                <w:sz w:val="24"/>
              </w:rPr>
              <w:t xml:space="preserve">К выяв - количество проведенных контрольных (надзорных) мероприятий (внеплановых документарных проверок) в отношении ЖСК, осуществляющих строительство с привлечением денежных средств участников строительства, по результатам которых были выявлены нарушения</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В.3.1.18</w:t>
            </w:r>
          </w:p>
        </w:tc>
        <w:tc>
          <w:tcPr>
            <w:tcW w:w="3005" w:type="dxa"/>
          </w:tcPr>
          <w:p>
            <w:pPr>
              <w:pStyle w:val="0"/>
            </w:pPr>
            <w:r>
              <w:rPr>
                <w:sz w:val="24"/>
              </w:rPr>
              <w:t xml:space="preserve">Общая сумма наложенных по итогам проверок административных штрафов</w:t>
            </w:r>
          </w:p>
        </w:tc>
        <w:tc>
          <w:tcPr>
            <w:tcW w:w="1304" w:type="dxa"/>
          </w:tcPr>
          <w:p>
            <w:pPr>
              <w:pStyle w:val="0"/>
              <w:jc w:val="center"/>
            </w:pPr>
            <w:r>
              <w:rPr>
                <w:sz w:val="24"/>
              </w:rPr>
              <w:t xml:space="preserve">млн руб.</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В.3.1.19</w:t>
            </w:r>
          </w:p>
        </w:tc>
        <w:tc>
          <w:tcPr>
            <w:tcW w:w="3005" w:type="dxa"/>
          </w:tcPr>
          <w:p>
            <w:pPr>
              <w:pStyle w:val="0"/>
            </w:pPr>
            <w:r>
              <w:rPr>
                <w:sz w:val="24"/>
              </w:rPr>
              <w:t xml:space="preserve">Общая сумма уплаченных (взысканных) административных штрафов, наложенных по итогам контрольных (надзорных) мероприятий</w:t>
            </w:r>
          </w:p>
        </w:tc>
        <w:tc>
          <w:tcPr>
            <w:tcW w:w="1304" w:type="dxa"/>
          </w:tcPr>
          <w:p>
            <w:pPr>
              <w:pStyle w:val="0"/>
              <w:jc w:val="center"/>
            </w:pPr>
            <w:r>
              <w:rPr>
                <w:sz w:val="24"/>
              </w:rPr>
              <w:t xml:space="preserve">млн руб.</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В.3.1.20</w:t>
            </w:r>
          </w:p>
        </w:tc>
        <w:tc>
          <w:tcPr>
            <w:tcW w:w="3005" w:type="dxa"/>
          </w:tcPr>
          <w:p>
            <w:pPr>
              <w:pStyle w:val="0"/>
            </w:pPr>
            <w:r>
              <w:rPr>
                <w:sz w:val="24"/>
              </w:rPr>
              <w:t xml:space="preserve">Отношение суммы взысканных административных штрафов к общей сумме наложенных административных штрафов (% взыск)</w:t>
            </w:r>
          </w:p>
        </w:tc>
        <w:tc>
          <w:tcPr>
            <w:tcW w:w="1304" w:type="dxa"/>
          </w:tcPr>
          <w:p>
            <w:pPr>
              <w:pStyle w:val="0"/>
              <w:jc w:val="center"/>
            </w:pPr>
            <w:r>
              <w:rPr>
                <w:sz w:val="24"/>
              </w:rPr>
              <w:t xml:space="preserve">% взыск = В / Н x 100</w:t>
            </w:r>
          </w:p>
        </w:tc>
        <w:tc>
          <w:tcPr>
            <w:tcW w:w="3855" w:type="dxa"/>
          </w:tcPr>
          <w:p>
            <w:pPr>
              <w:pStyle w:val="0"/>
            </w:pPr>
            <w:r>
              <w:rPr>
                <w:sz w:val="24"/>
              </w:rPr>
              <w:t xml:space="preserve">В - сумма взысканных штрафов, тыс. руб.;</w:t>
            </w:r>
          </w:p>
          <w:p>
            <w:pPr>
              <w:pStyle w:val="0"/>
            </w:pPr>
            <w:r>
              <w:rPr>
                <w:sz w:val="24"/>
              </w:rPr>
              <w:t xml:space="preserve">Н - сумма наложенных штрафов, тыс. руб.</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В.3.1.21</w:t>
            </w:r>
          </w:p>
        </w:tc>
        <w:tc>
          <w:tcPr>
            <w:tcW w:w="3005" w:type="dxa"/>
          </w:tcPr>
          <w:p>
            <w:pPr>
              <w:pStyle w:val="0"/>
            </w:pPr>
            <w:r>
              <w:rPr>
                <w:sz w:val="24"/>
              </w:rPr>
              <w:t xml:space="preserve">Средний размер наложенного административного штрафа (Шср)</w:t>
            </w:r>
          </w:p>
        </w:tc>
        <w:tc>
          <w:tcPr>
            <w:tcW w:w="1304" w:type="dxa"/>
          </w:tcPr>
          <w:p>
            <w:pPr>
              <w:pStyle w:val="0"/>
              <w:jc w:val="center"/>
            </w:pPr>
            <w:r>
              <w:rPr>
                <w:sz w:val="24"/>
              </w:rPr>
              <w:t xml:space="preserve">Шср = Н / К штр</w:t>
            </w:r>
          </w:p>
        </w:tc>
        <w:tc>
          <w:tcPr>
            <w:tcW w:w="3855" w:type="dxa"/>
          </w:tcPr>
          <w:p>
            <w:pPr>
              <w:pStyle w:val="0"/>
            </w:pPr>
            <w:r>
              <w:rPr>
                <w:sz w:val="24"/>
              </w:rPr>
              <w:t xml:space="preserve">Н - сумма наложенных штрафов, тыс. руб.;</w:t>
            </w:r>
          </w:p>
          <w:p>
            <w:pPr>
              <w:pStyle w:val="0"/>
            </w:pPr>
            <w:r>
              <w:rPr>
                <w:sz w:val="24"/>
              </w:rPr>
              <w:t xml:space="preserve">К штр - количество административных дел, по результатам которых назначено наказание в виде административного штрафа, ед.</w:t>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outlineLvl w:val="4"/>
            </w:pPr>
            <w:r>
              <w:rPr>
                <w:sz w:val="24"/>
              </w:rPr>
              <w:t xml:space="preserve">В.3.2</w:t>
            </w:r>
          </w:p>
        </w:tc>
        <w:tc>
          <w:tcPr>
            <w:tcW w:w="12586" w:type="dxa"/>
            <w:gridSpan w:val="5"/>
          </w:tcPr>
          <w:p>
            <w:pPr>
              <w:pStyle w:val="0"/>
            </w:pPr>
            <w:r>
              <w:rPr>
                <w:sz w:val="24"/>
              </w:rPr>
              <w:t xml:space="preserve">Профилактические мероприятия</w:t>
            </w:r>
          </w:p>
        </w:tc>
      </w:tr>
      <w:tr>
        <w:tc>
          <w:tcPr>
            <w:tcW w:w="1020" w:type="dxa"/>
          </w:tcPr>
          <w:p>
            <w:pPr>
              <w:pStyle w:val="0"/>
              <w:jc w:val="center"/>
            </w:pPr>
            <w:r>
              <w:rPr>
                <w:sz w:val="24"/>
              </w:rPr>
              <w:t xml:space="preserve">В.3.2.1</w:t>
            </w:r>
          </w:p>
        </w:tc>
        <w:tc>
          <w:tcPr>
            <w:tcW w:w="3005" w:type="dxa"/>
          </w:tcPr>
          <w:p>
            <w:pPr>
              <w:pStyle w:val="0"/>
            </w:pPr>
            <w:r>
              <w:rPr>
                <w:sz w:val="24"/>
              </w:rPr>
              <w:t xml:space="preserve">Количество проведенных профилактических мероприятий</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vMerge w:val="restart"/>
          </w:tcPr>
          <w:p>
            <w:pPr>
              <w:pStyle w:val="0"/>
            </w:pPr>
            <w:r>
              <w:rPr>
                <w:sz w:val="24"/>
              </w:rPr>
              <w:t xml:space="preserve">документы, полученные в результате контрольной (надзорной) деятельности</w:t>
            </w:r>
          </w:p>
        </w:tc>
      </w:tr>
      <w:tr>
        <w:tc>
          <w:tcPr>
            <w:tcW w:w="1020" w:type="dxa"/>
          </w:tcPr>
          <w:p>
            <w:pPr>
              <w:pStyle w:val="0"/>
              <w:jc w:val="center"/>
            </w:pPr>
            <w:r>
              <w:rPr>
                <w:sz w:val="24"/>
              </w:rPr>
              <w:t xml:space="preserve">В.3.2.2</w:t>
            </w:r>
          </w:p>
        </w:tc>
        <w:tc>
          <w:tcPr>
            <w:tcW w:w="3005" w:type="dxa"/>
          </w:tcPr>
          <w:p>
            <w:pPr>
              <w:pStyle w:val="0"/>
            </w:pPr>
            <w:r>
              <w:rPr>
                <w:sz w:val="24"/>
              </w:rPr>
              <w:t xml:space="preserve">Количество контролируемых лиц (ЖСК), в отношении которых проведены профилактические мероприятия</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vMerge w:val="continue"/>
          </w:tcPr>
          <w:p/>
        </w:tc>
      </w:tr>
      <w:tr>
        <w:tc>
          <w:tcPr>
            <w:tcW w:w="1020" w:type="dxa"/>
          </w:tcPr>
          <w:p>
            <w:pPr>
              <w:pStyle w:val="0"/>
              <w:jc w:val="center"/>
            </w:pPr>
            <w:r>
              <w:rPr>
                <w:sz w:val="24"/>
              </w:rPr>
              <w:t xml:space="preserve">В.3.2.3</w:t>
            </w:r>
          </w:p>
        </w:tc>
        <w:tc>
          <w:tcPr>
            <w:tcW w:w="3005" w:type="dxa"/>
          </w:tcPr>
          <w:p>
            <w:pPr>
              <w:pStyle w:val="0"/>
            </w:pPr>
            <w:r>
              <w:rPr>
                <w:sz w:val="24"/>
              </w:rPr>
              <w:t xml:space="preserve">Доля контролируемых лиц (ЖСК), в отношении которых были проведены обязательные профилактические визиты, от общего количества запланированных обязательных профилактических визитов (Д визит)</w:t>
            </w:r>
          </w:p>
        </w:tc>
        <w:tc>
          <w:tcPr>
            <w:tcW w:w="1304" w:type="dxa"/>
          </w:tcPr>
          <w:p>
            <w:pPr>
              <w:pStyle w:val="0"/>
              <w:jc w:val="center"/>
            </w:pPr>
            <w:r>
              <w:rPr>
                <w:sz w:val="24"/>
              </w:rPr>
              <w:t xml:space="preserve">Д визит = К мер / К план x 100</w:t>
            </w:r>
          </w:p>
        </w:tc>
        <w:tc>
          <w:tcPr>
            <w:tcW w:w="3855" w:type="dxa"/>
          </w:tcPr>
          <w:p>
            <w:pPr>
              <w:pStyle w:val="0"/>
            </w:pPr>
            <w:r>
              <w:rPr>
                <w:sz w:val="24"/>
              </w:rPr>
              <w:t xml:space="preserve">К мер - количество ЖСК, осуществляющих строительство с привлечением денежных средств участников строительства, в отношении которых были проведены обязательные профилактические визиты;</w:t>
            </w:r>
          </w:p>
          <w:p>
            <w:pPr>
              <w:pStyle w:val="0"/>
            </w:pPr>
            <w:r>
              <w:rPr>
                <w:sz w:val="24"/>
              </w:rPr>
              <w:t xml:space="preserve">К план - количество ЖСК, осуществляющих строительство с привлечением денежных средств участников строительства, в отношении которых были запланированы обязательные профилактические визиты</w:t>
            </w:r>
          </w:p>
        </w:tc>
        <w:tc>
          <w:tcPr>
            <w:tcW w:w="1020" w:type="dxa"/>
          </w:tcPr>
          <w:p>
            <w:pPr>
              <w:pStyle w:val="0"/>
            </w:pPr>
            <w:r>
              <w:rPr>
                <w:sz w:val="24"/>
              </w:rPr>
              <w:t xml:space="preserve">не используются</w:t>
            </w:r>
          </w:p>
        </w:tc>
        <w:tc>
          <w:tcPr>
            <w:vMerge w:val="continue"/>
          </w:tcPr>
          <w:p/>
        </w:tc>
      </w:tr>
      <w:tr>
        <w:tc>
          <w:tcPr>
            <w:tcW w:w="1020" w:type="dxa"/>
          </w:tcPr>
          <w:p>
            <w:pPr>
              <w:pStyle w:val="0"/>
              <w:jc w:val="center"/>
            </w:pPr>
            <w:r>
              <w:rPr>
                <w:sz w:val="24"/>
              </w:rPr>
              <w:t xml:space="preserve">В.3.2.4</w:t>
            </w:r>
          </w:p>
        </w:tc>
        <w:tc>
          <w:tcPr>
            <w:tcW w:w="3005" w:type="dxa"/>
          </w:tcPr>
          <w:p>
            <w:pPr>
              <w:pStyle w:val="0"/>
            </w:pPr>
            <w:r>
              <w:rPr>
                <w:sz w:val="24"/>
              </w:rPr>
              <w:t xml:space="preserve">Доля контролируемых лиц (ЖСК), в отношении которых проведены профилактические мероприятия (Д проф мер)</w:t>
            </w:r>
          </w:p>
        </w:tc>
        <w:tc>
          <w:tcPr>
            <w:tcW w:w="1304" w:type="dxa"/>
          </w:tcPr>
          <w:p>
            <w:pPr>
              <w:pStyle w:val="0"/>
              <w:jc w:val="center"/>
            </w:pPr>
            <w:r>
              <w:rPr>
                <w:sz w:val="24"/>
              </w:rPr>
              <w:t xml:space="preserve">Д проф мер = К проф мер / К общ x 100</w:t>
            </w:r>
          </w:p>
        </w:tc>
        <w:tc>
          <w:tcPr>
            <w:tcW w:w="3855" w:type="dxa"/>
          </w:tcPr>
          <w:p>
            <w:pPr>
              <w:pStyle w:val="0"/>
            </w:pPr>
            <w:r>
              <w:rPr>
                <w:sz w:val="24"/>
              </w:rPr>
              <w:t xml:space="preserve">К проф мер - количество ЖСК, осуществляющих строительство с привлечением денежных средств участников строительства, в отношении которых были проведены профилактические мероприятия;</w:t>
            </w:r>
          </w:p>
          <w:p>
            <w:pPr>
              <w:pStyle w:val="0"/>
            </w:pPr>
            <w:r>
              <w:rPr>
                <w:sz w:val="24"/>
              </w:rPr>
              <w:t xml:space="preserve">К общ - общее количество контролируемых лиц (ЖСК), осуществляющих строительство с привлечением денежных средств участников строительства</w:t>
            </w:r>
          </w:p>
        </w:tc>
        <w:tc>
          <w:tcPr>
            <w:tcW w:w="1020" w:type="dxa"/>
          </w:tcPr>
          <w:p>
            <w:pPr>
              <w:pStyle w:val="0"/>
            </w:pPr>
            <w:r>
              <w:rPr>
                <w:sz w:val="24"/>
              </w:rPr>
              <w:t xml:space="preserve">не используются</w:t>
            </w:r>
          </w:p>
        </w:tc>
        <w:tc>
          <w:tcPr>
            <w:vMerge w:val="continue"/>
          </w:tcPr>
          <w:p/>
        </w:tc>
      </w:tr>
      <w:tr>
        <w:tc>
          <w:tcPr>
            <w:tcW w:w="1020" w:type="dxa"/>
          </w:tcPr>
          <w:p>
            <w:pPr>
              <w:pStyle w:val="0"/>
              <w:jc w:val="center"/>
              <w:outlineLvl w:val="3"/>
            </w:pPr>
            <w:r>
              <w:rPr>
                <w:sz w:val="24"/>
              </w:rPr>
              <w:t xml:space="preserve">В.4</w:t>
            </w:r>
          </w:p>
        </w:tc>
        <w:tc>
          <w:tcPr>
            <w:tcW w:w="12586" w:type="dxa"/>
            <w:gridSpan w:val="5"/>
          </w:tcPr>
          <w:p>
            <w:pPr>
              <w:pStyle w:val="0"/>
            </w:pPr>
            <w:r>
              <w:rPr>
                <w:sz w:val="24"/>
              </w:rPr>
              <w:t xml:space="preserve">Индикативные показатели, характеризующие объем задействованных трудовых, материальных и финансовых ресурсов</w:t>
            </w:r>
          </w:p>
        </w:tc>
      </w:tr>
      <w:tr>
        <w:tc>
          <w:tcPr>
            <w:tcW w:w="1020" w:type="dxa"/>
          </w:tcPr>
          <w:p>
            <w:pPr>
              <w:pStyle w:val="0"/>
              <w:jc w:val="center"/>
            </w:pPr>
            <w:r>
              <w:rPr>
                <w:sz w:val="24"/>
              </w:rPr>
              <w:t xml:space="preserve">В.4.1</w:t>
            </w:r>
          </w:p>
        </w:tc>
        <w:tc>
          <w:tcPr>
            <w:tcW w:w="3005" w:type="dxa"/>
          </w:tcPr>
          <w:p>
            <w:pPr>
              <w:pStyle w:val="0"/>
            </w:pPr>
            <w:r>
              <w:rPr>
                <w:sz w:val="24"/>
              </w:rPr>
              <w:t xml:space="preserve">Объем финансовых средств, выделяемых в отчетном периоде из бюджетов всех уровней на выполнение функций по контролю (надзору), в том числе на фонд оплаты труда, с учетом начислений, командировочных расходов, накладных расходов, прочих расходов</w:t>
            </w:r>
          </w:p>
        </w:tc>
        <w:tc>
          <w:tcPr>
            <w:tcW w:w="1304" w:type="dxa"/>
          </w:tcPr>
          <w:p>
            <w:pPr>
              <w:pStyle w:val="0"/>
              <w:jc w:val="center"/>
            </w:pPr>
            <w:r>
              <w:rPr>
                <w:sz w:val="24"/>
              </w:rPr>
              <w:t xml:space="preserve">млн руб.</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t xml:space="preserve">внутренние документы министерства строительства Новосибирской области</w:t>
            </w:r>
          </w:p>
        </w:tc>
      </w:tr>
      <w:tr>
        <w:tc>
          <w:tcPr>
            <w:tcW w:w="1020" w:type="dxa"/>
          </w:tcPr>
          <w:p>
            <w:pPr>
              <w:pStyle w:val="0"/>
              <w:jc w:val="center"/>
            </w:pPr>
            <w:r>
              <w:rPr>
                <w:sz w:val="24"/>
              </w:rPr>
              <w:t xml:space="preserve">В.4.2</w:t>
            </w:r>
          </w:p>
        </w:tc>
        <w:tc>
          <w:tcPr>
            <w:tcW w:w="3005" w:type="dxa"/>
          </w:tcPr>
          <w:p>
            <w:pPr>
              <w:pStyle w:val="0"/>
            </w:pPr>
            <w:r>
              <w:rPr>
                <w:sz w:val="24"/>
              </w:rPr>
              <w:t xml:space="preserve">Количество штатных единиц, всего</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r>
        <w:tc>
          <w:tcPr>
            <w:tcW w:w="1020" w:type="dxa"/>
          </w:tcPr>
          <w:p>
            <w:pPr>
              <w:pStyle w:val="0"/>
              <w:jc w:val="center"/>
            </w:pPr>
            <w:r>
              <w:rPr>
                <w:sz w:val="24"/>
              </w:rPr>
              <w:t xml:space="preserve">В.4.3</w:t>
            </w:r>
          </w:p>
        </w:tc>
        <w:tc>
          <w:tcPr>
            <w:tcW w:w="3005" w:type="dxa"/>
          </w:tcPr>
          <w:p>
            <w:pPr>
              <w:pStyle w:val="0"/>
            </w:pPr>
            <w:r>
              <w:rPr>
                <w:sz w:val="24"/>
              </w:rPr>
              <w:t xml:space="preserve">Количество штатных единиц, в должностные обязанности которых входит выполнение контрольно-надзорных функций</w:t>
            </w:r>
          </w:p>
        </w:tc>
        <w:tc>
          <w:tcPr>
            <w:tcW w:w="1304" w:type="dxa"/>
          </w:tcPr>
          <w:p>
            <w:pPr>
              <w:pStyle w:val="0"/>
              <w:jc w:val="center"/>
            </w:pPr>
            <w:r>
              <w:rPr>
                <w:sz w:val="24"/>
              </w:rPr>
              <w:t xml:space="preserve">единица</w:t>
            </w:r>
          </w:p>
        </w:tc>
        <w:tc>
          <w:tcPr>
            <w:tcW w:w="3855" w:type="dxa"/>
          </w:tcPr>
          <w:p>
            <w:pPr>
              <w:pStyle w:val="0"/>
            </w:pPr>
            <w:r>
              <w:rPr>
                <w:sz w:val="24"/>
              </w:rPr>
            </w:r>
          </w:p>
        </w:tc>
        <w:tc>
          <w:tcPr>
            <w:tcW w:w="1020" w:type="dxa"/>
          </w:tcPr>
          <w:p>
            <w:pPr>
              <w:pStyle w:val="0"/>
            </w:pPr>
            <w:r>
              <w:rPr>
                <w:sz w:val="24"/>
              </w:rPr>
              <w:t xml:space="preserve">не используются</w:t>
            </w:r>
          </w:p>
        </w:tc>
        <w:tc>
          <w:tcPr>
            <w:tcW w:w="3402" w:type="dxa"/>
          </w:tcPr>
          <w:p>
            <w:pPr>
              <w:pStyle w:val="0"/>
            </w:pPr>
            <w:r>
              <w:rPr>
                <w:sz w:val="24"/>
              </w:rPr>
            </w:r>
          </w:p>
        </w:tc>
      </w:tr>
    </w:tbl>
    <w:p>
      <w:pPr>
        <w:sectPr>
          <w:headerReference w:type="default" r:id="rId8"/>
          <w:headerReference w:type="first" r:id="rId9"/>
          <w:footerReference w:type="default" r:id="rId14"/>
          <w:footerReference w:type="first" r:id="rId15"/>
          <w:pgSz w:w="16838" w:h="11906" w:orient="landscape"/>
          <w:pgMar w:top="1133" w:right="1440" w:bottom="566" w:left="1440" w:header="0" w:footer="0" w:gutter="0"/>
          <w:cols w:space="708"/>
          <w:docGrid w:linePitch="360"/>
          <w:titlePg/>
        </w:sectPr>
      </w:pPr>
    </w:p>
    <w:p>
      <w:pPr>
        <w:pStyle w:val="0"/>
        <w:ind w:firstLine="54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Сноска утратила силу. - </w:t>
      </w:r>
      <w:hyperlink r:id="rId135" w:tooltip="Постановление Правительства Новосибирской области от 15.07.2025 N 311-п &quot;О внесении изменений в постановление Правительства Новосибирской области от 30.12.2021 N 572-п&quot; {КонсультантПлюс}" w:history="0">
        <w:r>
          <w:rPr>
            <w:color w:val="0000ff"/>
            <w:sz w:val="24"/>
          </w:rPr>
          <w:t xml:space="preserve">Постановление</w:t>
        </w:r>
      </w:hyperlink>
      <w:r>
        <w:rPr>
          <w:sz w:val="24"/>
        </w:rPr>
        <w:t xml:space="preserve"> Правительства Новосибирской области от 15.07.2025 N 311-п.</w:t>
      </w:r>
    </w:p>
    <w:p>
      <w:pPr>
        <w:pStyle w:val="0"/>
        <w:ind w:firstLine="540"/>
        <w:jc w:val="both"/>
      </w:pPr>
      <w:r>
        <w:rPr>
          <w:sz w:val="24"/>
        </w:rPr>
      </w:r>
    </w:p>
    <w:p>
      <w:pPr>
        <w:pStyle w:val="0"/>
        <w:ind w:firstLine="540"/>
        <w:jc w:val="both"/>
      </w:pPr>
      <w:r>
        <w:rPr>
          <w:sz w:val="24"/>
        </w:rPr>
      </w:r>
    </w:p>
    <w:p>
      <w:pPr>
        <w:pStyle w:val="0"/>
        <w:pBdr>
          <w:bottom w:val="single" w:color="auto" w:sz="6" w:space="0"/>
        </w:pBdr>
        <w:spacing w:before="100" w:after="100"/>
        <w:jc w:val="both"/>
        <w:rPr>
          <w:sz w:val="2"/>
          <w:szCs w:val="2"/>
        </w:rPr>
      </w:pPr>
    </w:p>
    <w:sectPr>
      <w:headerReference w:type="default" r:id="rId10"/>
      <w:headerReference w:type="first" r:id="rId11"/>
      <w:footerReference w:type="default" r:id="rId16"/>
      <w:footerReference w:type="first" r:id="rId17"/>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572-п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572-п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572-п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572-п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572-п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Новосибирской области от 30.12.2021 N 572-п</w:t>
            <w:br/>
            <w:t xml:space="preserve">(ред. от 15.07.2025)</w:t>
            <w:br/>
            <w:t xml:space="preserve">"Об утверждении Положения 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04.05.2026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1.png"/><Relationship Id="rId19" Type="http://schemas.openxmlformats.org/officeDocument/2006/relationships/hyperlink" Target="https://www.consultant.ru" TargetMode="External"/><Relationship Id="rId20" Type="http://schemas.openxmlformats.org/officeDocument/2006/relationships/hyperlink" Target="https://www.consultant.ru" TargetMode="External"/><Relationship Id="rId21" Type="http://schemas.openxmlformats.org/officeDocument/2006/relationships/hyperlink" Target="http://10.12.1.46/cons/cgi/online.cgi?req=doc&amp;base=RLAW049&amp;n=163854&amp;date=04.05.2026&amp;dst=100005&amp;field=134" TargetMode="External"/><Relationship Id="rId22" Type="http://schemas.openxmlformats.org/officeDocument/2006/relationships/hyperlink" Target="http://10.12.1.46/cons/cgi/online.cgi?req=doc&amp;base=RLAW049&amp;n=176144&amp;date=04.05.2026&amp;dst=100005&amp;field=134" TargetMode="External"/><Relationship Id="rId23" Type="http://schemas.openxmlformats.org/officeDocument/2006/relationships/hyperlink" Target="http://10.12.1.46/cons/cgi/online.cgi?req=doc&amp;base=RLAW049&amp;n=185441&amp;date=04.05.2026&amp;dst=100005&amp;field=134" TargetMode="External"/><Relationship Id="rId24" Type="http://schemas.openxmlformats.org/officeDocument/2006/relationships/hyperlink" Target="http://10.12.1.46/cons/cgi/online.cgi?req=doc&amp;base=LAW&amp;n=532260&amp;date=04.05.2026&amp;dst=100087&amp;field=134" TargetMode="External"/><Relationship Id="rId25" Type="http://schemas.openxmlformats.org/officeDocument/2006/relationships/hyperlink" Target="http://10.12.1.46/cons/cgi/online.cgi?req=doc&amp;base=LAW&amp;n=511791&amp;date=04.05.2026&amp;dst=1063&amp;field=134" TargetMode="External"/><Relationship Id="rId26" Type="http://schemas.openxmlformats.org/officeDocument/2006/relationships/hyperlink" Target="http://10.12.1.46/cons/cgi/online.cgi?req=doc&amp;base=RLAW049&amp;n=132587&amp;date=04.05.2026" TargetMode="External"/><Relationship Id="rId27" Type="http://schemas.openxmlformats.org/officeDocument/2006/relationships/hyperlink" Target="http://10.12.1.46/cons/cgi/online.cgi?req=doc&amp;base=RLAW049&amp;n=108605&amp;date=04.05.2026" TargetMode="External"/><Relationship Id="rId28" Type="http://schemas.openxmlformats.org/officeDocument/2006/relationships/hyperlink" Target="http://10.12.1.46/cons/cgi/online.cgi?req=doc&amp;base=RLAW049&amp;n=176144&amp;date=04.05.2026&amp;dst=100006&amp;field=134" TargetMode="External"/><Relationship Id="rId29" Type="http://schemas.openxmlformats.org/officeDocument/2006/relationships/hyperlink" Target="http://10.12.1.46/cons/cgi/online.cgi?req=doc&amp;base=RLAW049&amp;n=185441&amp;date=04.05.2026&amp;dst=100006&amp;field=134" TargetMode="External"/><Relationship Id="rId30" Type="http://schemas.openxmlformats.org/officeDocument/2006/relationships/hyperlink" Target="http://10.12.1.46/cons/cgi/online.cgi?req=doc&amp;base=LAW&amp;n=532260&amp;date=04.05.2026" TargetMode="External"/><Relationship Id="rId31" Type="http://schemas.openxmlformats.org/officeDocument/2006/relationships/hyperlink" Target="http://10.12.1.46/cons/cgi/online.cgi?req=doc&amp;base=LAW&amp;n=511791&amp;date=04.05.2026&amp;dst=559&amp;field=134" TargetMode="External"/><Relationship Id="rId32" Type="http://schemas.openxmlformats.org/officeDocument/2006/relationships/hyperlink" Target="http://10.12.1.46/cons/cgi/online.cgi?req=doc&amp;base=LAW&amp;n=511791&amp;date=04.05.2026&amp;dst=561&amp;field=134" TargetMode="External"/><Relationship Id="rId33" Type="http://schemas.openxmlformats.org/officeDocument/2006/relationships/hyperlink" Target="http://10.12.1.46/cons/cgi/online.cgi?req=doc&amp;base=LAW&amp;n=511791&amp;date=04.05.2026&amp;dst=559&amp;field=134" TargetMode="External"/><Relationship Id="rId34" Type="http://schemas.openxmlformats.org/officeDocument/2006/relationships/hyperlink" Target="http://10.12.1.46/cons/cgi/online.cgi?req=doc&amp;base=LAW&amp;n=511791&amp;date=04.05.2026&amp;dst=561&amp;field=134" TargetMode="External"/><Relationship Id="rId35" Type="http://schemas.openxmlformats.org/officeDocument/2006/relationships/hyperlink" Target="http://10.12.1.46/cons/cgi/online.cgi?req=doc&amp;base=RLAW049&amp;n=185441&amp;date=04.05.2026&amp;dst=100007&amp;field=134" TargetMode="External"/><Relationship Id="rId36" Type="http://schemas.openxmlformats.org/officeDocument/2006/relationships/hyperlink" Target="http://10.12.1.46/cons/cgi/online.cgi?req=doc&amp;base=LAW&amp;n=532260&amp;date=04.05.2026&amp;dst=100329&amp;field=134" TargetMode="External"/><Relationship Id="rId37" Type="http://schemas.openxmlformats.org/officeDocument/2006/relationships/hyperlink" Target="http://10.12.1.46/cons/cgi/online.cgi?req=doc&amp;base=LAW&amp;n=511791&amp;date=04.05.2026&amp;dst=1046&amp;field=134" TargetMode="External"/><Relationship Id="rId38" Type="http://schemas.openxmlformats.org/officeDocument/2006/relationships/hyperlink" Target="http://10.12.1.46/cons/cgi/online.cgi?req=doc&amp;base=LAW&amp;n=532260&amp;date=04.05.2026&amp;dst=100315&amp;field=134" TargetMode="External"/><Relationship Id="rId39" Type="http://schemas.openxmlformats.org/officeDocument/2006/relationships/hyperlink" Target="http://10.12.1.46/cons/cgi/online.cgi?req=doc&amp;base=LAW&amp;n=532260&amp;date=04.05.2026" TargetMode="External"/><Relationship Id="rId40" Type="http://schemas.openxmlformats.org/officeDocument/2006/relationships/hyperlink" Target="http://10.12.1.46/cons/cgi/online.cgi?req=doc&amp;base=LAW&amp;n=511791&amp;date=04.05.2026&amp;dst=1045&amp;field=134" TargetMode="External"/><Relationship Id="rId41" Type="http://schemas.openxmlformats.org/officeDocument/2006/relationships/hyperlink" Target="http://10.12.1.46/cons/cgi/online.cgi?req=doc&amp;base=LAW&amp;n=511791&amp;date=04.05.2026&amp;dst=1046&amp;field=134" TargetMode="External"/><Relationship Id="rId42" Type="http://schemas.openxmlformats.org/officeDocument/2006/relationships/hyperlink" Target="http://10.12.1.46/cons/cgi/online.cgi?req=doc&amp;base=LAW&amp;n=511791&amp;date=04.05.2026&amp;dst=1058&amp;field=134" TargetMode="External"/><Relationship Id="rId43" Type="http://schemas.openxmlformats.org/officeDocument/2006/relationships/hyperlink" Target="http://10.12.1.46/cons/cgi/online.cgi?req=doc&amp;base=LAW&amp;n=532260&amp;date=04.05.2026" TargetMode="External"/><Relationship Id="rId44" Type="http://schemas.openxmlformats.org/officeDocument/2006/relationships/hyperlink" Target="http://10.12.1.46/cons/cgi/online.cgi?req=doc&amp;base=LAW&amp;n=531461&amp;date=04.05.2026&amp;dst=100556&amp;field=134" TargetMode="External"/><Relationship Id="rId45" Type="http://schemas.openxmlformats.org/officeDocument/2006/relationships/hyperlink" Target="http://10.12.1.46/cons/cgi/online.cgi?req=doc&amp;base=LAW&amp;n=511791&amp;date=04.05.2026" TargetMode="External"/><Relationship Id="rId46" Type="http://schemas.openxmlformats.org/officeDocument/2006/relationships/hyperlink" Target="http://10.12.1.46/cons/cgi/online.cgi?req=doc&amp;base=LAW&amp;n=507514&amp;date=04.05.2026" TargetMode="External"/><Relationship Id="rId47" Type="http://schemas.openxmlformats.org/officeDocument/2006/relationships/hyperlink" Target="http://10.12.1.46/cons/cgi/online.cgi?req=doc&amp;base=LAW&amp;n=507514&amp;date=04.05.2026" TargetMode="External"/><Relationship Id="rId48" Type="http://schemas.openxmlformats.org/officeDocument/2006/relationships/hyperlink" Target="http://10.12.1.46/cons/cgi/online.cgi?req=doc&amp;base=RLAW049&amp;n=185441&amp;date=04.05.2026&amp;dst=100008&amp;field=134" TargetMode="External"/><Relationship Id="rId49" Type="http://schemas.openxmlformats.org/officeDocument/2006/relationships/hyperlink" Target="http://10.12.1.46/cons/cgi/online.cgi?req=doc&amp;base=RLAW049&amp;n=185441&amp;date=04.05.2026&amp;dst=100012&amp;field=134" TargetMode="External"/><Relationship Id="rId50" Type="http://schemas.openxmlformats.org/officeDocument/2006/relationships/hyperlink" Target="http://10.12.1.46/cons/cgi/online.cgi?req=doc&amp;base=RLAW049&amp;n=185441&amp;date=04.05.2026&amp;dst=100013&amp;field=134" TargetMode="External"/><Relationship Id="rId51" Type="http://schemas.openxmlformats.org/officeDocument/2006/relationships/hyperlink" Target="http://10.12.1.46/cons/cgi/online.cgi?req=doc&amp;base=LAW&amp;n=532260&amp;date=04.05.2026&amp;dst=100422&amp;field=134" TargetMode="External"/><Relationship Id="rId52" Type="http://schemas.openxmlformats.org/officeDocument/2006/relationships/hyperlink" Target="http://10.12.1.46/cons/cgi/online.cgi?req=doc&amp;base=LAW&amp;n=495209&amp;date=04.05.2026&amp;dst=100093&amp;field=134" TargetMode="External"/><Relationship Id="rId53" Type="http://schemas.openxmlformats.org/officeDocument/2006/relationships/hyperlink" Target="http://10.12.1.46/cons/cgi/online.cgi?req=doc&amp;base=RLAW049&amp;n=185441&amp;date=04.05.2026&amp;dst=100015&amp;field=134" TargetMode="External"/><Relationship Id="rId54" Type="http://schemas.openxmlformats.org/officeDocument/2006/relationships/hyperlink" Target="http://10.12.1.46/cons/cgi/online.cgi?req=doc&amp;base=RLAW049&amp;n=185441&amp;date=04.05.2026&amp;dst=100017&amp;field=134" TargetMode="External"/><Relationship Id="rId55" Type="http://schemas.openxmlformats.org/officeDocument/2006/relationships/hyperlink" Target="http://10.12.1.46/cons/cgi/online.cgi?req=doc&amp;base=LAW&amp;n=532260&amp;date=04.05.2026&amp;dst=100482&amp;field=134" TargetMode="External"/><Relationship Id="rId56" Type="http://schemas.openxmlformats.org/officeDocument/2006/relationships/hyperlink" Target="www.minstroy.nso.ru" TargetMode="External"/><Relationship Id="rId57" Type="http://schemas.openxmlformats.org/officeDocument/2006/relationships/hyperlink" Target="http://10.12.1.46/cons/cgi/online.cgi?req=doc&amp;base=LAW&amp;n=532260&amp;date=04.05.2026" TargetMode="External"/><Relationship Id="rId58" Type="http://schemas.openxmlformats.org/officeDocument/2006/relationships/hyperlink" Target="http://10.12.1.46/cons/cgi/online.cgi?req=doc&amp;base=RLAW049&amp;n=185441&amp;date=04.05.2026&amp;dst=100018&amp;field=134" TargetMode="External"/><Relationship Id="rId59" Type="http://schemas.openxmlformats.org/officeDocument/2006/relationships/hyperlink" Target="http://10.12.1.46/cons/cgi/online.cgi?req=doc&amp;base=LAW&amp;n=532260&amp;date=04.05.2026&amp;dst=100509&amp;field=134" TargetMode="External"/><Relationship Id="rId60" Type="http://schemas.openxmlformats.org/officeDocument/2006/relationships/hyperlink" Target="http://10.12.1.46/cons/cgi/online.cgi?req=doc&amp;base=LAW&amp;n=531464&amp;date=04.05.2026" TargetMode="External"/><Relationship Id="rId61" Type="http://schemas.openxmlformats.org/officeDocument/2006/relationships/hyperlink" Target="http://10.12.1.46/cons/cgi/online.cgi?req=doc&amp;base=LAW&amp;n=532260&amp;date=04.05.2026&amp;dst=100529&amp;field=134" TargetMode="External"/><Relationship Id="rId62" Type="http://schemas.openxmlformats.org/officeDocument/2006/relationships/hyperlink" Target="http://10.12.1.46/cons/cgi/online.cgi?req=doc&amp;base=LAW&amp;n=532260&amp;date=04.05.2026" TargetMode="External"/><Relationship Id="rId63" Type="http://schemas.openxmlformats.org/officeDocument/2006/relationships/hyperlink" Target="http://10.12.1.46/cons/cgi/online.cgi?req=doc&amp;base=RLAW049&amp;n=185441&amp;date=04.05.2026&amp;dst=100020&amp;field=134" TargetMode="External"/><Relationship Id="rId64" Type="http://schemas.openxmlformats.org/officeDocument/2006/relationships/hyperlink" Target="http://10.12.1.46/cons/cgi/online.cgi?req=doc&amp;base=LAW&amp;n=532260&amp;date=04.05.2026&amp;dst=101131&amp;field=134" TargetMode="External"/><Relationship Id="rId65" Type="http://schemas.openxmlformats.org/officeDocument/2006/relationships/hyperlink" Target="http://10.12.1.46/cons/cgi/online.cgi?req=doc&amp;base=RLAW049&amp;n=185441&amp;date=04.05.2026&amp;dst=100022&amp;field=134" TargetMode="External"/><Relationship Id="rId66" Type="http://schemas.openxmlformats.org/officeDocument/2006/relationships/hyperlink" Target="http://10.12.1.46/cons/cgi/online.cgi?req=doc&amp;base=LAW&amp;n=532260&amp;date=04.05.2026&amp;dst=101131&amp;field=134" TargetMode="External"/><Relationship Id="rId67" Type="http://schemas.openxmlformats.org/officeDocument/2006/relationships/hyperlink" Target="http://10.12.1.46/cons/cgi/online.cgi?req=doc&amp;base=LAW&amp;n=532260&amp;date=04.05.2026&amp;dst=100553&amp;field=134" TargetMode="External"/><Relationship Id="rId68" Type="http://schemas.openxmlformats.org/officeDocument/2006/relationships/hyperlink" Target="http://10.12.1.46/cons/cgi/online.cgi?req=doc&amp;base=LAW&amp;n=494960&amp;date=04.05.2026" TargetMode="External"/><Relationship Id="rId69" Type="http://schemas.openxmlformats.org/officeDocument/2006/relationships/hyperlink" Target="http://10.12.1.46/cons/cgi/online.cgi?req=doc&amp;base=LAW&amp;n=495209&amp;date=04.05.2026&amp;dst=100097&amp;field=134" TargetMode="External"/><Relationship Id="rId70" Type="http://schemas.openxmlformats.org/officeDocument/2006/relationships/hyperlink" Target="http://10.12.1.46/cons/cgi/online.cgi?req=doc&amp;base=RLAW049&amp;n=176144&amp;date=04.05.2026&amp;dst=100010&amp;field=134" TargetMode="External"/><Relationship Id="rId71" Type="http://schemas.openxmlformats.org/officeDocument/2006/relationships/hyperlink" Target="http://10.12.1.46/cons/cgi/online.cgi?req=doc&amp;base=LAW&amp;n=494960&amp;date=04.05.2026" TargetMode="External"/><Relationship Id="rId72" Type="http://schemas.openxmlformats.org/officeDocument/2006/relationships/hyperlink" Target="http://10.12.1.46/cons/cgi/online.cgi?req=doc&amp;base=LAW&amp;n=532260&amp;date=04.05.2026&amp;dst=101361&amp;field=134" TargetMode="External"/><Relationship Id="rId73" Type="http://schemas.openxmlformats.org/officeDocument/2006/relationships/hyperlink" Target="http://10.12.1.46/cons/cgi/online.cgi?req=doc&amp;base=LAW&amp;n=532260&amp;date=04.05.2026&amp;dst=101366&amp;field=134" TargetMode="External"/><Relationship Id="rId74" Type="http://schemas.openxmlformats.org/officeDocument/2006/relationships/hyperlink" Target="http://10.12.1.46/cons/cgi/online.cgi?req=doc&amp;base=LAW&amp;n=532260&amp;date=04.05.2026&amp;dst=101391&amp;field=134" TargetMode="External"/><Relationship Id="rId75" Type="http://schemas.openxmlformats.org/officeDocument/2006/relationships/hyperlink" Target="http://10.12.1.46/cons/cgi/online.cgi?req=doc&amp;base=RLAW049&amp;n=185441&amp;date=04.05.2026&amp;dst=100024&amp;field=134" TargetMode="External"/><Relationship Id="rId76" Type="http://schemas.openxmlformats.org/officeDocument/2006/relationships/hyperlink" Target="http://10.12.1.46/cons/cgi/online.cgi?req=doc&amp;base=LAW&amp;n=532260&amp;date=04.05.2026&amp;dst=101366&amp;field=134" TargetMode="External"/><Relationship Id="rId77" Type="http://schemas.openxmlformats.org/officeDocument/2006/relationships/hyperlink" Target="http://10.12.1.46/cons/cgi/online.cgi?req=doc&amp;base=RLAW049&amp;n=185441&amp;date=04.05.2026&amp;dst=100027&amp;field=134" TargetMode="External"/><Relationship Id="rId78" Type="http://schemas.openxmlformats.org/officeDocument/2006/relationships/hyperlink" Target="http://10.12.1.46/cons/cgi/online.cgi?req=doc&amp;base=LAW&amp;n=532260&amp;date=04.05.2026&amp;dst=101391&amp;field=134" TargetMode="External"/><Relationship Id="rId79" Type="http://schemas.openxmlformats.org/officeDocument/2006/relationships/hyperlink" Target="http://10.12.1.46/cons/cgi/online.cgi?req=doc&amp;base=LAW&amp;n=495209&amp;date=04.05.2026&amp;dst=100097&amp;field=134" TargetMode="External"/><Relationship Id="rId80" Type="http://schemas.openxmlformats.org/officeDocument/2006/relationships/hyperlink" Target="http://10.12.1.46/cons/cgi/online.cgi?req=doc&amp;base=RLAW049&amp;n=185441&amp;date=04.05.2026&amp;dst=100028&amp;field=134" TargetMode="External"/><Relationship Id="rId81" Type="http://schemas.openxmlformats.org/officeDocument/2006/relationships/hyperlink" Target="http://10.12.1.46/cons/cgi/online.cgi?req=doc&amp;base=RLAW049&amp;n=185441&amp;date=04.05.2026&amp;dst=100029&amp;field=134" TargetMode="External"/><Relationship Id="rId82" Type="http://schemas.openxmlformats.org/officeDocument/2006/relationships/hyperlink" Target="http://10.12.1.46/cons/cgi/online.cgi?req=doc&amp;base=LAW&amp;n=531461&amp;date=04.05.2026" TargetMode="External"/><Relationship Id="rId83" Type="http://schemas.openxmlformats.org/officeDocument/2006/relationships/hyperlink" Target="http://10.12.1.46/cons/cgi/online.cgi?req=doc&amp;base=LAW&amp;n=532260&amp;date=04.05.2026&amp;dst=100640&amp;field=134" TargetMode="External"/><Relationship Id="rId84" Type="http://schemas.openxmlformats.org/officeDocument/2006/relationships/hyperlink" Target="http://10.12.1.46/cons/cgi/online.cgi?req=doc&amp;base=LAW&amp;n=532260&amp;date=04.05.2026&amp;dst=101267&amp;field=134" TargetMode="External"/><Relationship Id="rId85" Type="http://schemas.openxmlformats.org/officeDocument/2006/relationships/hyperlink" Target="http://10.12.1.46/cons/cgi/online.cgi?req=doc&amp;base=LAW&amp;n=532260&amp;date=04.05.2026&amp;dst=100640&amp;field=134" TargetMode="External"/><Relationship Id="rId86" Type="http://schemas.openxmlformats.org/officeDocument/2006/relationships/hyperlink" Target="http://10.12.1.46/cons/cgi/online.cgi?req=doc&amp;base=RLAW049&amp;n=185441&amp;date=04.05.2026&amp;dst=100030&amp;field=134" TargetMode="External"/><Relationship Id="rId87" Type="http://schemas.openxmlformats.org/officeDocument/2006/relationships/hyperlink" Target="http://10.12.1.46/cons/cgi/online.cgi?req=doc&amp;base=RLAW049&amp;n=185441&amp;date=04.05.2026&amp;dst=100043&amp;field=134" TargetMode="External"/><Relationship Id="rId88" Type="http://schemas.openxmlformats.org/officeDocument/2006/relationships/hyperlink" Target="http://10.12.1.46/cons/cgi/online.cgi?req=doc&amp;base=LAW&amp;n=532260&amp;date=04.05.2026&amp;dst=100651&amp;field=134" TargetMode="External"/><Relationship Id="rId89" Type="http://schemas.openxmlformats.org/officeDocument/2006/relationships/hyperlink" Target="http://10.12.1.46/cons/cgi/online.cgi?req=doc&amp;base=RLAW049&amp;n=185441&amp;date=04.05.2026&amp;dst=100043&amp;field=134" TargetMode="External"/><Relationship Id="rId90" Type="http://schemas.openxmlformats.org/officeDocument/2006/relationships/hyperlink" Target="http://10.12.1.46/cons/cgi/online.cgi?req=doc&amp;base=LAW&amp;n=532260&amp;date=04.05.2026&amp;dst=101410&amp;field=134" TargetMode="External"/><Relationship Id="rId91" Type="http://schemas.openxmlformats.org/officeDocument/2006/relationships/hyperlink" Target="http://10.12.1.46/cons/cgi/online.cgi?req=doc&amp;base=LAW&amp;n=532260&amp;date=04.05.2026&amp;dst=100637&amp;field=134" TargetMode="External"/><Relationship Id="rId92" Type="http://schemas.openxmlformats.org/officeDocument/2006/relationships/hyperlink" Target="http://10.12.1.46/cons/cgi/online.cgi?req=doc&amp;base=RLAW049&amp;n=185441&amp;date=04.05.2026&amp;dst=100044&amp;field=134" TargetMode="External"/><Relationship Id="rId93" Type="http://schemas.openxmlformats.org/officeDocument/2006/relationships/hyperlink" Target="http://10.12.1.46/cons/cgi/online.cgi?req=doc&amp;base=RLAW049&amp;n=185441&amp;date=04.05.2026&amp;dst=100046&amp;field=134" TargetMode="External"/><Relationship Id="rId94" Type="http://schemas.openxmlformats.org/officeDocument/2006/relationships/hyperlink" Target="http://10.12.1.46/cons/cgi/online.cgi?req=doc&amp;base=RLAW049&amp;n=185441&amp;date=04.05.2026&amp;dst=100048&amp;field=134" TargetMode="External"/><Relationship Id="rId95" Type="http://schemas.openxmlformats.org/officeDocument/2006/relationships/hyperlink" Target="http://10.12.1.46/cons/cgi/online.cgi?req=doc&amp;base=RLAW049&amp;n=185441&amp;date=04.05.2026&amp;dst=100050&amp;field=134" TargetMode="External"/><Relationship Id="rId96" Type="http://schemas.openxmlformats.org/officeDocument/2006/relationships/hyperlink" Target="http://10.12.1.46/cons/cgi/online.cgi?req=doc&amp;base=LAW&amp;n=532260&amp;date=04.05.2026&amp;dst=100659&amp;field=134" TargetMode="External"/><Relationship Id="rId97" Type="http://schemas.openxmlformats.org/officeDocument/2006/relationships/hyperlink" Target="http://10.12.1.46/cons/cgi/online.cgi?req=doc&amp;base=LAW&amp;n=532260&amp;date=04.05.2026&amp;dst=100999&amp;field=134" TargetMode="External"/><Relationship Id="rId98" Type="http://schemas.openxmlformats.org/officeDocument/2006/relationships/hyperlink" Target="http://10.12.1.46/cons/cgi/online.cgi?req=doc&amp;base=RLAW049&amp;n=185441&amp;date=04.05.2026&amp;dst=100052&amp;field=134" TargetMode="External"/><Relationship Id="rId99" Type="http://schemas.openxmlformats.org/officeDocument/2006/relationships/hyperlink" Target="http://10.12.1.46/cons/cgi/online.cgi?req=doc&amp;base=RLAW049&amp;n=185441&amp;date=04.05.2026&amp;dst=100094&amp;field=134" TargetMode="External"/><Relationship Id="rId100" Type="http://schemas.openxmlformats.org/officeDocument/2006/relationships/hyperlink" Target="http://10.12.1.46/cons/cgi/online.cgi?req=doc&amp;base=RLAW049&amp;n=185441&amp;date=04.05.2026&amp;dst=100054&amp;field=134" TargetMode="External"/><Relationship Id="rId101" Type="http://schemas.openxmlformats.org/officeDocument/2006/relationships/hyperlink" Target="http://10.12.1.46/cons/cgi/online.cgi?req=doc&amp;base=LAW&amp;n=532260&amp;date=04.05.2026&amp;dst=101000&amp;field=134" TargetMode="External"/><Relationship Id="rId102" Type="http://schemas.openxmlformats.org/officeDocument/2006/relationships/hyperlink" Target="http://10.12.1.46/cons/cgi/online.cgi?req=doc&amp;base=RLAW049&amp;n=185441&amp;date=04.05.2026&amp;dst=100056&amp;field=134" TargetMode="External"/><Relationship Id="rId103" Type="http://schemas.openxmlformats.org/officeDocument/2006/relationships/hyperlink" Target="http://10.12.1.46/cons/cgi/online.cgi?req=doc&amp;base=LAW&amp;n=532260&amp;date=04.05.2026" TargetMode="External"/><Relationship Id="rId104" Type="http://schemas.openxmlformats.org/officeDocument/2006/relationships/hyperlink" Target="http://10.12.1.46/cons/cgi/online.cgi?req=doc&amp;base=RLAW049&amp;n=185441&amp;date=04.05.2026&amp;dst=100058&amp;field=134" TargetMode="External"/><Relationship Id="rId105" Type="http://schemas.openxmlformats.org/officeDocument/2006/relationships/hyperlink" Target="http://10.12.1.46/cons/cgi/online.cgi?req=doc&amp;base=LAW&amp;n=532260&amp;date=04.05.2026" TargetMode="External"/><Relationship Id="rId106" Type="http://schemas.openxmlformats.org/officeDocument/2006/relationships/hyperlink" Target="http://10.12.1.46/cons/cgi/online.cgi?req=doc&amp;base=RLAW049&amp;n=185441&amp;date=04.05.2026&amp;dst=100060&amp;field=134" TargetMode="External"/><Relationship Id="rId107" Type="http://schemas.openxmlformats.org/officeDocument/2006/relationships/hyperlink" Target="http://10.12.1.46/cons/cgi/online.cgi?req=doc&amp;base=RLAW049&amp;n=185441&amp;date=04.05.2026&amp;dst=100062&amp;field=134" TargetMode="External"/><Relationship Id="rId108" Type="http://schemas.openxmlformats.org/officeDocument/2006/relationships/hyperlink" Target="http://10.12.1.46/cons/cgi/online.cgi?req=doc&amp;base=LAW&amp;n=532260&amp;date=04.05.2026&amp;dst=101491&amp;field=134" TargetMode="External"/><Relationship Id="rId109" Type="http://schemas.openxmlformats.org/officeDocument/2006/relationships/hyperlink" Target="http://10.12.1.46/cons/cgi/online.cgi?req=doc&amp;base=RLAW049&amp;n=185441&amp;date=04.05.2026&amp;dst=100064&amp;field=134" TargetMode="External"/><Relationship Id="rId110" Type="http://schemas.openxmlformats.org/officeDocument/2006/relationships/hyperlink" Target="http://10.12.1.46/cons/cgi/online.cgi?req=doc&amp;base=LAW&amp;n=532260&amp;date=04.05.2026&amp;dst=100428&amp;field=134" TargetMode="External"/><Relationship Id="rId111" Type="http://schemas.openxmlformats.org/officeDocument/2006/relationships/hyperlink" Target="http://10.12.1.46/cons/cgi/online.cgi?req=doc&amp;base=LAW&amp;n=532260&amp;date=04.05.2026" TargetMode="External"/><Relationship Id="rId112" Type="http://schemas.openxmlformats.org/officeDocument/2006/relationships/hyperlink" Target="http://10.12.1.46/cons/cgi/online.cgi?req=doc&amp;base=RLAW049&amp;n=185441&amp;date=04.05.2026&amp;dst=100066&amp;field=134" TargetMode="External"/><Relationship Id="rId113" Type="http://schemas.openxmlformats.org/officeDocument/2006/relationships/hyperlink" Target="http://10.12.1.46/cons/cgi/online.cgi?req=doc&amp;base=RLAW049&amp;n=185441&amp;date=04.05.2026&amp;dst=100074&amp;field=134" TargetMode="External"/><Relationship Id="rId114" Type="http://schemas.openxmlformats.org/officeDocument/2006/relationships/hyperlink" Target="http://10.12.1.46/cons/cgi/online.cgi?req=doc&amp;base=LAW&amp;n=532260&amp;date=04.05.2026&amp;dst=100449&amp;field=134" TargetMode="External"/><Relationship Id="rId115" Type="http://schemas.openxmlformats.org/officeDocument/2006/relationships/hyperlink" Target="http://10.12.1.46/cons/cgi/online.cgi?req=doc&amp;base=LAW&amp;n=495209&amp;date=04.05.2026&amp;dst=100076&amp;field=134" TargetMode="External"/><Relationship Id="rId116" Type="http://schemas.openxmlformats.org/officeDocument/2006/relationships/hyperlink" Target="http://10.12.1.46/cons/cgi/online.cgi?req=doc&amp;base=RLAW049&amp;n=176144&amp;date=04.05.2026&amp;dst=100031&amp;field=134" TargetMode="External"/><Relationship Id="rId117" Type="http://schemas.openxmlformats.org/officeDocument/2006/relationships/hyperlink" Target="http://10.12.1.46/cons/cgi/online.cgi?req=doc&amp;base=LAW&amp;n=532260&amp;date=04.05.2026&amp;dst=100459&amp;field=134" TargetMode="External"/><Relationship Id="rId118" Type="http://schemas.openxmlformats.org/officeDocument/2006/relationships/hyperlink" Target="http://10.12.1.46/cons/cgi/online.cgi?req=doc&amp;base=RLAW049&amp;n=185441&amp;date=04.05.2026&amp;dst=100076&amp;field=134" TargetMode="External"/><Relationship Id="rId119" Type="http://schemas.openxmlformats.org/officeDocument/2006/relationships/hyperlink" Target="http://10.12.1.46/cons/cgi/online.cgi?req=doc&amp;base=LAW&amp;n=532260&amp;date=04.05.2026&amp;dst=100468&amp;field=134" TargetMode="External"/><Relationship Id="rId120" Type="http://schemas.openxmlformats.org/officeDocument/2006/relationships/hyperlink" Target="http://10.12.1.46/cons/cgi/online.cgi?req=doc&amp;base=LAW&amp;n=532260&amp;date=04.05.2026&amp;dst=100468&amp;field=134" TargetMode="External"/><Relationship Id="rId121" Type="http://schemas.openxmlformats.org/officeDocument/2006/relationships/hyperlink" Target="http://10.12.1.46/cons/cgi/online.cgi?req=doc&amp;base=RLAW049&amp;n=185441&amp;date=04.05.2026&amp;dst=100078&amp;field=134" TargetMode="External"/><Relationship Id="rId122" Type="http://schemas.openxmlformats.org/officeDocument/2006/relationships/hyperlink" Target="http://10.12.1.46/cons/cgi/online.cgi?req=doc&amp;base=RLAW049&amp;n=185441&amp;date=04.05.2026&amp;dst=100081&amp;field=134" TargetMode="External"/><Relationship Id="rId123" Type="http://schemas.openxmlformats.org/officeDocument/2006/relationships/hyperlink" Target="http://10.12.1.46/cons/cgi/online.cgi?req=doc&amp;base=LAW&amp;n=531290&amp;date=04.05.2026&amp;dst=7069&amp;field=134" TargetMode="External"/><Relationship Id="rId124" Type="http://schemas.openxmlformats.org/officeDocument/2006/relationships/hyperlink" Target="http://10.12.1.46/cons/cgi/online.cgi?req=doc&amp;base=LAW&amp;n=531290&amp;date=04.05.2026&amp;dst=7080&amp;field=134" TargetMode="External"/><Relationship Id="rId125" Type="http://schemas.openxmlformats.org/officeDocument/2006/relationships/hyperlink" Target="http://10.12.1.46/cons/cgi/online.cgi?req=doc&amp;base=LAW&amp;n=531290&amp;date=04.05.2026&amp;dst=8266&amp;field=134" TargetMode="External"/><Relationship Id="rId126" Type="http://schemas.openxmlformats.org/officeDocument/2006/relationships/hyperlink" Target="http://10.12.1.46/cons/cgi/online.cgi?req=doc&amp;base=LAW&amp;n=531290&amp;date=04.05.2026&amp;dst=7043&amp;field=134" TargetMode="External"/><Relationship Id="rId127" Type="http://schemas.openxmlformats.org/officeDocument/2006/relationships/hyperlink" Target="http://10.12.1.46/cons/cgi/online.cgi?req=doc&amp;base=LAW&amp;n=531290&amp;date=04.05.2026&amp;dst=7069&amp;field=134" TargetMode="External"/><Relationship Id="rId128" Type="http://schemas.openxmlformats.org/officeDocument/2006/relationships/hyperlink" Target="http://10.12.1.46/cons/cgi/online.cgi?req=doc&amp;base=LAW&amp;n=531290&amp;date=04.05.2026&amp;dst=7080&amp;field=134" TargetMode="External"/><Relationship Id="rId129" Type="http://schemas.openxmlformats.org/officeDocument/2006/relationships/hyperlink" Target="http://10.12.1.46/cons/cgi/online.cgi?req=doc&amp;base=LAW&amp;n=531290&amp;date=04.05.2026&amp;dst=8266&amp;field=134" TargetMode="External"/><Relationship Id="rId130" Type="http://schemas.openxmlformats.org/officeDocument/2006/relationships/hyperlink" Target="http://10.12.1.46/cons/cgi/online.cgi?req=doc&amp;base=LAW&amp;n=531290&amp;date=04.05.2026&amp;dst=7043&amp;field=134" TargetMode="External"/><Relationship Id="rId131" Type="http://schemas.openxmlformats.org/officeDocument/2006/relationships/hyperlink" Target="http://10.12.1.46/cons/cgi/online.cgi?req=doc&amp;base=RLAW049&amp;n=163854&amp;date=04.05.2026&amp;dst=100006&amp;field=134" TargetMode="External"/><Relationship Id="rId132" Type="http://schemas.openxmlformats.org/officeDocument/2006/relationships/hyperlink" Target="http://10.12.1.46/cons/cgi/online.cgi?req=doc&amp;base=RLAW049&amp;n=176144&amp;date=04.05.2026&amp;dst=100033&amp;field=134" TargetMode="External"/><Relationship Id="rId133" Type="http://schemas.openxmlformats.org/officeDocument/2006/relationships/hyperlink" Target="http://10.12.1.46/cons/cgi/online.cgi?req=doc&amp;base=RLAW049&amp;n=185441&amp;date=04.05.2026&amp;dst=100083&amp;field=134" TargetMode="External"/><Relationship Id="rId134" Type="http://schemas.openxmlformats.org/officeDocument/2006/relationships/hyperlink" Target="http://10.12.1.46/cons/cgi/online.cgi?req=doc&amp;base=RLAW049&amp;n=185441&amp;date=04.05.2026&amp;dst=100084&amp;field=134" TargetMode="External"/><Relationship Id="rId135" Type="http://schemas.openxmlformats.org/officeDocument/2006/relationships/hyperlink" Target="http://10.12.1.46/cons/cgi/online.cgi?req=doc&amp;base=RLAW049&amp;n=185441&amp;date=04.05.2026&amp;dst=100093&amp;field=134"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Р7-Офис/2024.3.1.523</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Новосибирской области от 30.12.2021 N 572-п
(ред. от 15.07.2025)
"Об утверждении Положения о региональном государственном контроле (надзоре) за деятельностью жилищно-строительных кооперативов, связанной с привлечением денежных средств членов кооперативов для строительства многоквартирных домов"</dc:title>
  <dcterms:created xsi:type="dcterms:W3CDTF">2026-05-04T07:42:46Z</dcterms:created>
</cp:coreProperties>
</file>